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BF54" w14:textId="77777777" w:rsidR="00CA6BBA" w:rsidRDefault="00656827">
      <w:pPr>
        <w:spacing w:line="360" w:lineRule="auto"/>
        <w:jc w:val="center"/>
        <w:rPr>
          <w:rFonts w:ascii="宋体" w:hAnsi="宋体" w:cs="宋体"/>
          <w:b/>
          <w:bCs/>
          <w:sz w:val="44"/>
          <w:szCs w:val="44"/>
        </w:rPr>
      </w:pPr>
      <w:proofErr w:type="gramStart"/>
      <w:r>
        <w:rPr>
          <w:rFonts w:ascii="宋体" w:hAnsi="宋体" w:cs="宋体" w:hint="eastAsia"/>
          <w:b/>
          <w:bCs/>
          <w:sz w:val="44"/>
          <w:szCs w:val="44"/>
        </w:rPr>
        <w:t>直线加速器维保项目</w:t>
      </w:r>
      <w:proofErr w:type="gramEnd"/>
      <w:r>
        <w:rPr>
          <w:rFonts w:ascii="宋体" w:hAnsi="宋体" w:cs="宋体" w:hint="eastAsia"/>
          <w:b/>
          <w:bCs/>
          <w:sz w:val="44"/>
          <w:szCs w:val="44"/>
        </w:rPr>
        <w:t>招标参数</w:t>
      </w:r>
    </w:p>
    <w:p w14:paraId="664A6B8C" w14:textId="77777777" w:rsidR="00CA6BBA" w:rsidRDefault="00CA6BBA">
      <w:pPr>
        <w:pStyle w:val="20"/>
      </w:pPr>
    </w:p>
    <w:p w14:paraId="4C169F46" w14:textId="77777777" w:rsidR="00CA6BBA" w:rsidRDefault="00656827">
      <w:pPr>
        <w:spacing w:line="360" w:lineRule="auto"/>
        <w:rPr>
          <w:rFonts w:ascii="宋体" w:hAnsi="宋体" w:cs="宋体"/>
          <w:b/>
          <w:bCs/>
          <w:sz w:val="32"/>
          <w:szCs w:val="32"/>
        </w:rPr>
      </w:pPr>
      <w:r>
        <w:rPr>
          <w:rFonts w:ascii="宋体" w:hAnsi="宋体" w:cs="宋体" w:hint="eastAsia"/>
          <w:b/>
          <w:bCs/>
          <w:sz w:val="32"/>
          <w:szCs w:val="32"/>
        </w:rPr>
        <w:t>一、项目信息</w:t>
      </w:r>
    </w:p>
    <w:p w14:paraId="104C4ADE" w14:textId="77777777" w:rsidR="00CA6BBA" w:rsidRDefault="00656827">
      <w:pPr>
        <w:spacing w:line="360" w:lineRule="auto"/>
        <w:rPr>
          <w:sz w:val="28"/>
          <w:szCs w:val="28"/>
        </w:rPr>
      </w:pPr>
      <w:r>
        <w:rPr>
          <w:sz w:val="28"/>
          <w:szCs w:val="28"/>
        </w:rPr>
        <w:t>1</w:t>
      </w:r>
      <w:r>
        <w:rPr>
          <w:sz w:val="28"/>
          <w:szCs w:val="28"/>
        </w:rPr>
        <w:t>、</w:t>
      </w:r>
      <w:r>
        <w:rPr>
          <w:sz w:val="28"/>
          <w:szCs w:val="28"/>
        </w:rPr>
        <w:t>设备名称：直线加速器</w:t>
      </w:r>
    </w:p>
    <w:p w14:paraId="7D414A29" w14:textId="591DF3BF" w:rsidR="00CA6BBA" w:rsidRDefault="00656827">
      <w:pPr>
        <w:pStyle w:val="20"/>
        <w:spacing w:line="360" w:lineRule="auto"/>
        <w:ind w:leftChars="0" w:left="0"/>
        <w:rPr>
          <w:sz w:val="28"/>
          <w:szCs w:val="28"/>
        </w:rPr>
      </w:pPr>
      <w:r>
        <w:rPr>
          <w:sz w:val="28"/>
          <w:szCs w:val="28"/>
        </w:rPr>
        <w:t>2</w:t>
      </w:r>
      <w:r>
        <w:rPr>
          <w:sz w:val="28"/>
          <w:szCs w:val="28"/>
        </w:rPr>
        <w:t>、设备型号：</w:t>
      </w:r>
      <w:r>
        <w:rPr>
          <w:sz w:val="28"/>
          <w:szCs w:val="28"/>
        </w:rPr>
        <w:t>医科达</w:t>
      </w:r>
      <w:r>
        <w:rPr>
          <w:sz w:val="28"/>
          <w:szCs w:val="28"/>
        </w:rPr>
        <w:t>Synergy</w:t>
      </w:r>
      <w:bookmarkStart w:id="0" w:name="_GoBack"/>
      <w:bookmarkEnd w:id="0"/>
    </w:p>
    <w:p w14:paraId="4E9886AC" w14:textId="77777777" w:rsidR="00CA6BBA" w:rsidRDefault="00656827">
      <w:pPr>
        <w:tabs>
          <w:tab w:val="left" w:pos="720"/>
        </w:tabs>
        <w:spacing w:line="360" w:lineRule="auto"/>
      </w:pPr>
      <w:r>
        <w:rPr>
          <w:sz w:val="28"/>
          <w:szCs w:val="28"/>
        </w:rPr>
        <w:t>3</w:t>
      </w:r>
      <w:r>
        <w:rPr>
          <w:sz w:val="28"/>
          <w:szCs w:val="28"/>
        </w:rPr>
        <w:t>、招标项目：</w:t>
      </w:r>
      <w:proofErr w:type="gramStart"/>
      <w:r>
        <w:rPr>
          <w:sz w:val="28"/>
          <w:szCs w:val="28"/>
        </w:rPr>
        <w:t>直线加速器</w:t>
      </w:r>
      <w:r>
        <w:rPr>
          <w:rFonts w:hint="eastAsia"/>
          <w:sz w:val="28"/>
          <w:szCs w:val="28"/>
        </w:rPr>
        <w:t>维保服务</w:t>
      </w:r>
      <w:proofErr w:type="gramEnd"/>
      <w:r>
        <w:rPr>
          <w:sz w:val="28"/>
          <w:szCs w:val="28"/>
        </w:rPr>
        <w:t>（</w:t>
      </w:r>
      <w:r>
        <w:rPr>
          <w:rFonts w:hint="eastAsia"/>
          <w:sz w:val="28"/>
          <w:szCs w:val="28"/>
        </w:rPr>
        <w:t>全保</w:t>
      </w:r>
      <w:r>
        <w:rPr>
          <w:sz w:val="28"/>
          <w:szCs w:val="28"/>
        </w:rPr>
        <w:t>）</w:t>
      </w:r>
    </w:p>
    <w:p w14:paraId="6B29B11F" w14:textId="77777777" w:rsidR="00CA6BBA" w:rsidRDefault="00656827">
      <w:pPr>
        <w:spacing w:line="360" w:lineRule="auto"/>
        <w:rPr>
          <w:rFonts w:ascii="宋体" w:hAnsi="宋体" w:cs="宋体"/>
          <w:b/>
          <w:bCs/>
          <w:sz w:val="32"/>
          <w:szCs w:val="32"/>
        </w:rPr>
      </w:pPr>
      <w:r>
        <w:rPr>
          <w:rFonts w:ascii="宋体" w:hAnsi="宋体" w:cs="宋体" w:hint="eastAsia"/>
          <w:b/>
          <w:bCs/>
          <w:sz w:val="32"/>
          <w:szCs w:val="32"/>
        </w:rPr>
        <w:t>二、服务技术要求</w:t>
      </w:r>
    </w:p>
    <w:p w14:paraId="4C87297B"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★服务内容及保修范围</w:t>
      </w:r>
    </w:p>
    <w:p w14:paraId="0DEC0824" w14:textId="77777777" w:rsidR="00CA6BBA" w:rsidRDefault="00656827">
      <w:pPr>
        <w:numPr>
          <w:ilvl w:val="1"/>
          <w:numId w:val="2"/>
        </w:numPr>
        <w:spacing w:line="360" w:lineRule="auto"/>
        <w:rPr>
          <w:rFonts w:ascii="宋体" w:hAnsi="宋体" w:cs="宋体"/>
          <w:sz w:val="24"/>
        </w:rPr>
      </w:pPr>
      <w:r>
        <w:rPr>
          <w:rFonts w:ascii="宋体" w:hAnsi="宋体" w:cs="宋体" w:hint="eastAsia"/>
          <w:sz w:val="24"/>
        </w:rPr>
        <w:t>保修范围：</w:t>
      </w:r>
      <w:r>
        <w:rPr>
          <w:rFonts w:ascii="宋体" w:hAnsi="宋体" w:cs="宋体" w:hint="eastAsia"/>
          <w:sz w:val="24"/>
        </w:rPr>
        <w:t>包含直线加速器主机、</w:t>
      </w:r>
      <w:proofErr w:type="spellStart"/>
      <w:r>
        <w:rPr>
          <w:rFonts w:ascii="宋体" w:hAnsi="宋体" w:cs="宋体" w:hint="eastAsia"/>
          <w:sz w:val="24"/>
        </w:rPr>
        <w:t>Mosaiq</w:t>
      </w:r>
      <w:proofErr w:type="spellEnd"/>
      <w:r>
        <w:rPr>
          <w:rFonts w:ascii="宋体" w:hAnsi="宋体" w:cs="宋体" w:hint="eastAsia"/>
          <w:sz w:val="24"/>
        </w:rPr>
        <w:t>网络信息系统、</w:t>
      </w:r>
      <w:r>
        <w:rPr>
          <w:rFonts w:ascii="宋体" w:hAnsi="宋体" w:cs="宋体" w:hint="eastAsia"/>
          <w:sz w:val="24"/>
        </w:rPr>
        <w:t>Monaco</w:t>
      </w:r>
      <w:r>
        <w:rPr>
          <w:rFonts w:ascii="宋体" w:hAnsi="宋体" w:cs="宋体" w:hint="eastAsia"/>
          <w:sz w:val="24"/>
        </w:rPr>
        <w:t>治疗计划系统及加速器第三方附属设备；</w:t>
      </w:r>
      <w:r>
        <w:rPr>
          <w:rFonts w:ascii="宋体" w:hAnsi="宋体" w:cs="宋体" w:hint="eastAsia"/>
          <w:sz w:val="24"/>
        </w:rPr>
        <w:t>【维保内容包括但不限于：</w:t>
      </w:r>
      <w:r>
        <w:rPr>
          <w:rFonts w:ascii="宋体" w:hAnsi="宋体" w:cs="宋体" w:hint="eastAsia"/>
          <w:sz w:val="24"/>
        </w:rPr>
        <w:t>磁控管、飞行管、闸流管、离子泵、电离室、机头内摄像头、</w:t>
      </w:r>
      <w:proofErr w:type="spellStart"/>
      <w:r>
        <w:rPr>
          <w:rFonts w:ascii="宋体" w:hAnsi="宋体" w:cs="宋体" w:hint="eastAsia"/>
          <w:sz w:val="24"/>
        </w:rPr>
        <w:t>iVieGT</w:t>
      </w:r>
      <w:proofErr w:type="spellEnd"/>
      <w:r>
        <w:rPr>
          <w:rFonts w:ascii="宋体" w:hAnsi="宋体" w:cs="宋体" w:hint="eastAsia"/>
          <w:sz w:val="24"/>
        </w:rPr>
        <w:t xml:space="preserve"> </w:t>
      </w:r>
      <w:r>
        <w:rPr>
          <w:rFonts w:ascii="宋体" w:hAnsi="宋体" w:cs="宋体" w:hint="eastAsia"/>
          <w:sz w:val="24"/>
        </w:rPr>
        <w:t>影像接收板、</w:t>
      </w:r>
      <w:r>
        <w:rPr>
          <w:rFonts w:ascii="宋体" w:hAnsi="宋体" w:cs="宋体" w:hint="eastAsia"/>
          <w:sz w:val="24"/>
        </w:rPr>
        <w:t xml:space="preserve">XVI </w:t>
      </w:r>
      <w:r>
        <w:rPr>
          <w:rFonts w:ascii="宋体" w:hAnsi="宋体" w:cs="宋体" w:hint="eastAsia"/>
          <w:sz w:val="24"/>
        </w:rPr>
        <w:t>球管、</w:t>
      </w:r>
      <w:r>
        <w:rPr>
          <w:rFonts w:ascii="宋体" w:hAnsi="宋体" w:cs="宋体" w:hint="eastAsia"/>
          <w:sz w:val="24"/>
        </w:rPr>
        <w:t xml:space="preserve">XVI </w:t>
      </w:r>
      <w:r>
        <w:rPr>
          <w:rFonts w:ascii="宋体" w:hAnsi="宋体" w:cs="宋体" w:hint="eastAsia"/>
          <w:sz w:val="24"/>
        </w:rPr>
        <w:t>影像接收板、</w:t>
      </w:r>
      <w:r>
        <w:rPr>
          <w:rFonts w:ascii="宋体" w:hAnsi="宋体" w:cs="宋体" w:hint="eastAsia"/>
          <w:sz w:val="24"/>
        </w:rPr>
        <w:t xml:space="preserve"> MLC </w:t>
      </w:r>
      <w:r>
        <w:rPr>
          <w:rFonts w:ascii="宋体" w:hAnsi="宋体" w:cs="宋体" w:hint="eastAsia"/>
          <w:sz w:val="24"/>
        </w:rPr>
        <w:t>多叶光栅机头、控制系统、治疗床、</w:t>
      </w:r>
      <w:r>
        <w:rPr>
          <w:rFonts w:ascii="宋体" w:hAnsi="宋体" w:cs="宋体" w:hint="eastAsia"/>
          <w:sz w:val="24"/>
        </w:rPr>
        <w:t xml:space="preserve"> </w:t>
      </w:r>
      <w:proofErr w:type="spellStart"/>
      <w:r>
        <w:rPr>
          <w:rFonts w:ascii="宋体" w:hAnsi="宋体" w:cs="宋体" w:hint="eastAsia"/>
          <w:sz w:val="24"/>
        </w:rPr>
        <w:t>iViewGT</w:t>
      </w:r>
      <w:proofErr w:type="spellEnd"/>
      <w:r>
        <w:rPr>
          <w:rFonts w:ascii="宋体" w:hAnsi="宋体" w:cs="宋体" w:hint="eastAsia"/>
          <w:sz w:val="24"/>
        </w:rPr>
        <w:t xml:space="preserve"> </w:t>
      </w:r>
      <w:r>
        <w:rPr>
          <w:rFonts w:ascii="宋体" w:hAnsi="宋体" w:cs="宋体" w:hint="eastAsia"/>
          <w:sz w:val="24"/>
        </w:rPr>
        <w:t>图像引导、</w:t>
      </w:r>
      <w:r>
        <w:rPr>
          <w:rFonts w:ascii="宋体" w:hAnsi="宋体" w:cs="宋体" w:hint="eastAsia"/>
          <w:sz w:val="24"/>
        </w:rPr>
        <w:t xml:space="preserve">TPS </w:t>
      </w:r>
      <w:r>
        <w:rPr>
          <w:rFonts w:ascii="宋体" w:hAnsi="宋体" w:cs="宋体" w:hint="eastAsia"/>
          <w:sz w:val="24"/>
        </w:rPr>
        <w:t>治疗计划系统</w:t>
      </w:r>
      <w:r>
        <w:rPr>
          <w:rFonts w:ascii="宋体" w:hAnsi="宋体" w:cs="宋体" w:hint="eastAsia"/>
          <w:sz w:val="24"/>
        </w:rPr>
        <w:t>(</w:t>
      </w:r>
      <w:r>
        <w:rPr>
          <w:rFonts w:ascii="宋体" w:hAnsi="宋体" w:cs="宋体" w:hint="eastAsia"/>
          <w:sz w:val="24"/>
        </w:rPr>
        <w:t>4</w:t>
      </w:r>
      <w:r>
        <w:rPr>
          <w:rFonts w:ascii="宋体" w:hAnsi="宋体" w:cs="宋体" w:hint="eastAsia"/>
          <w:sz w:val="24"/>
        </w:rPr>
        <w:t>台医生工作站、</w:t>
      </w:r>
      <w:r>
        <w:rPr>
          <w:rFonts w:ascii="宋体" w:hAnsi="宋体" w:cs="宋体" w:hint="eastAsia"/>
          <w:sz w:val="24"/>
        </w:rPr>
        <w:t>2</w:t>
      </w:r>
      <w:r>
        <w:rPr>
          <w:rFonts w:ascii="宋体" w:hAnsi="宋体" w:cs="宋体" w:hint="eastAsia"/>
          <w:sz w:val="24"/>
        </w:rPr>
        <w:t>台物理师工作站、；</w:t>
      </w:r>
      <w:r>
        <w:rPr>
          <w:rFonts w:ascii="宋体" w:hAnsi="宋体" w:cs="宋体" w:hint="eastAsia"/>
          <w:sz w:val="24"/>
        </w:rPr>
        <w:t>3</w:t>
      </w:r>
      <w:r>
        <w:rPr>
          <w:rFonts w:ascii="宋体" w:hAnsi="宋体" w:cs="宋体" w:hint="eastAsia"/>
          <w:sz w:val="24"/>
        </w:rPr>
        <w:t>台</w:t>
      </w:r>
      <w:proofErr w:type="spellStart"/>
      <w:r>
        <w:rPr>
          <w:rFonts w:ascii="宋体" w:hAnsi="宋体" w:cs="宋体" w:hint="eastAsia"/>
          <w:sz w:val="24"/>
        </w:rPr>
        <w:t>mosaiq</w:t>
      </w:r>
      <w:proofErr w:type="spellEnd"/>
      <w:r>
        <w:rPr>
          <w:rFonts w:ascii="宋体" w:hAnsi="宋体" w:cs="宋体" w:hint="eastAsia"/>
          <w:sz w:val="24"/>
        </w:rPr>
        <w:t>工作站软、硬件的升级、安装、维修</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MOSAI0 </w:t>
      </w:r>
      <w:r>
        <w:rPr>
          <w:rFonts w:ascii="宋体" w:hAnsi="宋体" w:cs="宋体" w:hint="eastAsia"/>
          <w:sz w:val="24"/>
        </w:rPr>
        <w:t>放疗网络系统、水冷机、激光定位灯，更换灯丝时</w:t>
      </w:r>
      <w:r>
        <w:rPr>
          <w:rFonts w:ascii="宋体" w:hAnsi="宋体" w:cs="宋体" w:hint="eastAsia"/>
          <w:sz w:val="24"/>
        </w:rPr>
        <w:t>所需</w:t>
      </w:r>
      <w:r>
        <w:rPr>
          <w:rFonts w:ascii="宋体" w:hAnsi="宋体" w:cs="宋体" w:hint="eastAsia"/>
          <w:sz w:val="24"/>
        </w:rPr>
        <w:t>氮气，水箱，激光灯，稳压机，不间断电源和不限次数人工并不再收取合同款项以外的任何费用</w:t>
      </w:r>
      <w:r>
        <w:rPr>
          <w:rFonts w:ascii="宋体" w:hAnsi="宋体" w:cs="宋体" w:hint="eastAsia"/>
          <w:sz w:val="24"/>
        </w:rPr>
        <w:t>，</w:t>
      </w:r>
      <w:r>
        <w:rPr>
          <w:rFonts w:ascii="宋体" w:hAnsi="宋体" w:cs="宋体" w:hint="eastAsia"/>
          <w:sz w:val="24"/>
        </w:rPr>
        <w:t>维修后的设备满足临床科室需求</w:t>
      </w:r>
      <w:r>
        <w:rPr>
          <w:rFonts w:ascii="宋体" w:hAnsi="宋体" w:cs="宋体" w:hint="eastAsia"/>
          <w:sz w:val="24"/>
        </w:rPr>
        <w:t>】</w:t>
      </w:r>
    </w:p>
    <w:p w14:paraId="53BD18B4" w14:textId="77777777" w:rsidR="00CA6BBA" w:rsidRDefault="00656827">
      <w:pPr>
        <w:pStyle w:val="a4"/>
        <w:numPr>
          <w:ilvl w:val="0"/>
          <w:numId w:val="2"/>
        </w:numPr>
        <w:rPr>
          <w:rFonts w:ascii="宋体" w:hAnsi="宋体" w:cs="宋体"/>
        </w:rPr>
      </w:pPr>
      <w:r>
        <w:rPr>
          <w:rFonts w:ascii="宋体" w:hAnsi="宋体" w:cs="宋体" w:hint="eastAsia"/>
          <w:sz w:val="24"/>
        </w:rPr>
        <w:t>服务年限：</w:t>
      </w:r>
      <w:r>
        <w:rPr>
          <w:rFonts w:ascii="宋体" w:hAnsi="宋体" w:cs="宋体" w:hint="eastAsia"/>
          <w:sz w:val="24"/>
        </w:rPr>
        <w:t>自合同签订之日起，有效期</w:t>
      </w:r>
      <w:r>
        <w:rPr>
          <w:rFonts w:ascii="宋体" w:hAnsi="宋体" w:cs="宋体" w:hint="eastAsia"/>
          <w:sz w:val="24"/>
        </w:rPr>
        <w:t>1</w:t>
      </w:r>
      <w:r>
        <w:rPr>
          <w:rFonts w:ascii="宋体" w:hAnsi="宋体" w:cs="宋体" w:hint="eastAsia"/>
          <w:sz w:val="24"/>
        </w:rPr>
        <w:t>年</w:t>
      </w:r>
      <w:r>
        <w:rPr>
          <w:rFonts w:ascii="宋体" w:hAnsi="宋体" w:cs="宋体" w:hint="eastAsia"/>
          <w:sz w:val="24"/>
        </w:rPr>
        <w:t>。</w:t>
      </w:r>
    </w:p>
    <w:p w14:paraId="0E04D9B5"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保修类型：</w:t>
      </w:r>
      <w:r>
        <w:rPr>
          <w:rFonts w:ascii="宋体" w:hAnsi="宋体" w:cs="宋体" w:hint="eastAsia"/>
          <w:sz w:val="24"/>
        </w:rPr>
        <w:t>直线加速器主机及所有配套设备</w:t>
      </w:r>
      <w:r>
        <w:rPr>
          <w:rFonts w:ascii="宋体" w:hAnsi="宋体" w:cs="宋体" w:hint="eastAsia"/>
          <w:sz w:val="24"/>
        </w:rPr>
        <w:t>全</w:t>
      </w:r>
      <w:r>
        <w:rPr>
          <w:rFonts w:ascii="宋体" w:hAnsi="宋体" w:cs="宋体" w:hint="eastAsia"/>
          <w:sz w:val="24"/>
        </w:rPr>
        <w:t>部维</w:t>
      </w:r>
      <w:r>
        <w:rPr>
          <w:rFonts w:ascii="宋体" w:hAnsi="宋体" w:cs="宋体" w:hint="eastAsia"/>
          <w:sz w:val="24"/>
        </w:rPr>
        <w:t>保</w:t>
      </w:r>
      <w:r>
        <w:rPr>
          <w:rFonts w:ascii="宋体" w:hAnsi="宋体" w:cs="宋体" w:hint="eastAsia"/>
          <w:sz w:val="24"/>
        </w:rPr>
        <w:t>（</w:t>
      </w:r>
      <w:r>
        <w:rPr>
          <w:rFonts w:ascii="宋体" w:hAnsi="宋体" w:cs="宋体" w:hint="eastAsia"/>
          <w:sz w:val="24"/>
        </w:rPr>
        <w:t>包含每年不限次数的维修技术服务费用及故障处理所需要的相关备件</w:t>
      </w:r>
      <w:r>
        <w:rPr>
          <w:rFonts w:ascii="宋体" w:hAnsi="宋体" w:cs="宋体" w:hint="eastAsia"/>
          <w:sz w:val="24"/>
        </w:rPr>
        <w:t>）</w:t>
      </w:r>
      <w:r>
        <w:rPr>
          <w:rFonts w:ascii="宋体" w:hAnsi="宋体" w:cs="宋体" w:hint="eastAsia"/>
          <w:sz w:val="24"/>
        </w:rPr>
        <w:t>。</w:t>
      </w:r>
    </w:p>
    <w:p w14:paraId="3DF92739"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w:t>
      </w:r>
      <w:r>
        <w:rPr>
          <w:rFonts w:ascii="宋体" w:hAnsi="宋体" w:cs="宋体" w:hint="eastAsia"/>
          <w:sz w:val="24"/>
        </w:rPr>
        <w:t>支持设备</w:t>
      </w:r>
      <w:r>
        <w:rPr>
          <w:rFonts w:ascii="宋体" w:hAnsi="宋体" w:cs="宋体" w:hint="eastAsia"/>
          <w:sz w:val="24"/>
        </w:rPr>
        <w:t>7*24</w:t>
      </w:r>
      <w:r>
        <w:rPr>
          <w:rFonts w:ascii="宋体" w:hAnsi="宋体" w:cs="宋体" w:hint="eastAsia"/>
          <w:sz w:val="24"/>
        </w:rPr>
        <w:t>小时远程监控，在线诊断、升级、自动报</w:t>
      </w:r>
      <w:r>
        <w:rPr>
          <w:rFonts w:ascii="宋体" w:hAnsi="宋体" w:cs="宋体" w:hint="eastAsia"/>
          <w:sz w:val="24"/>
        </w:rPr>
        <w:t>告及应用支持，以确保直线加速器的运行状况为最佳</w:t>
      </w:r>
      <w:r>
        <w:rPr>
          <w:rFonts w:ascii="宋体" w:hAnsi="宋体" w:cs="宋体" w:hint="eastAsia"/>
          <w:sz w:val="24"/>
        </w:rPr>
        <w:t>,</w:t>
      </w:r>
      <w:r>
        <w:rPr>
          <w:rFonts w:ascii="宋体" w:hAnsi="宋体" w:cs="宋体" w:hint="eastAsia"/>
          <w:sz w:val="24"/>
        </w:rPr>
        <w:t>需提供相关资料。</w:t>
      </w:r>
    </w:p>
    <w:p w14:paraId="56F629E3"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★备件供应：所更换的部件必须为原厂全新备件，提供相应清单和证明文件。并承诺及时配送调运。</w:t>
      </w:r>
      <w:r>
        <w:rPr>
          <w:rFonts w:ascii="宋体" w:hAnsi="宋体" w:cs="宋体"/>
          <w:sz w:val="24"/>
        </w:rPr>
        <w:t>保证备件的存储并提供备件的发货，所有更换的零部件必须为原厂测试合格的全新零备件；提供加速器不间断的安全性或功能性完善更新</w:t>
      </w:r>
      <w:r>
        <w:rPr>
          <w:rFonts w:ascii="宋体" w:hAnsi="宋体" w:cs="宋体"/>
          <w:sz w:val="24"/>
        </w:rPr>
        <w:t>FCO</w:t>
      </w:r>
      <w:r>
        <w:rPr>
          <w:rFonts w:ascii="宋体" w:hAnsi="宋体" w:cs="宋体"/>
          <w:sz w:val="24"/>
        </w:rPr>
        <w:t>服务能力</w:t>
      </w:r>
      <w:r>
        <w:rPr>
          <w:rFonts w:ascii="宋体" w:hAnsi="宋体" w:cs="宋体" w:hint="eastAsia"/>
          <w:sz w:val="24"/>
        </w:rPr>
        <w:t>。（注：投标文件中需提供相关文件证明原厂全新备件，例如报关单等资料）</w:t>
      </w:r>
    </w:p>
    <w:p w14:paraId="79B42B11"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24</w:t>
      </w:r>
      <w:r>
        <w:rPr>
          <w:rFonts w:ascii="宋体" w:hAnsi="宋体" w:cs="宋体" w:hint="eastAsia"/>
          <w:sz w:val="24"/>
        </w:rPr>
        <w:t>小时远程维修技术支持：通过电话、传真、邮件等获得技术支持。提供</w:t>
      </w:r>
      <w:r>
        <w:rPr>
          <w:rFonts w:ascii="宋体" w:hAnsi="宋体" w:cs="宋体" w:hint="eastAsia"/>
          <w:sz w:val="24"/>
        </w:rPr>
        <w:lastRenderedPageBreak/>
        <w:t>400</w:t>
      </w:r>
      <w:r>
        <w:rPr>
          <w:rFonts w:ascii="宋体" w:hAnsi="宋体" w:cs="宋体" w:hint="eastAsia"/>
          <w:sz w:val="24"/>
        </w:rPr>
        <w:t>或</w:t>
      </w:r>
      <w:r>
        <w:rPr>
          <w:rFonts w:ascii="宋体" w:hAnsi="宋体" w:cs="宋体" w:hint="eastAsia"/>
          <w:sz w:val="24"/>
        </w:rPr>
        <w:t>800</w:t>
      </w:r>
      <w:r>
        <w:rPr>
          <w:rFonts w:ascii="宋体" w:hAnsi="宋体" w:cs="宋体" w:hint="eastAsia"/>
          <w:sz w:val="24"/>
        </w:rPr>
        <w:t>远程报修电话支持</w:t>
      </w:r>
      <w:r>
        <w:rPr>
          <w:rFonts w:ascii="宋体" w:hAnsi="宋体" w:cs="宋体" w:hint="eastAsia"/>
          <w:sz w:val="24"/>
        </w:rPr>
        <w:t>。</w:t>
      </w:r>
    </w:p>
    <w:p w14:paraId="39096AF6"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维修不限节假日全天</w:t>
      </w:r>
      <w:r>
        <w:rPr>
          <w:rFonts w:ascii="宋体" w:hAnsi="宋体" w:cs="宋体" w:hint="eastAsia"/>
          <w:sz w:val="24"/>
        </w:rPr>
        <w:t>24</w:t>
      </w:r>
      <w:r>
        <w:rPr>
          <w:rFonts w:ascii="宋体" w:hAnsi="宋体" w:cs="宋体" w:hint="eastAsia"/>
          <w:sz w:val="24"/>
        </w:rPr>
        <w:t>小时，响应时间</w:t>
      </w:r>
      <w:r>
        <w:rPr>
          <w:rFonts w:ascii="宋体" w:hAnsi="宋体" w:cs="宋体" w:hint="eastAsia"/>
          <w:sz w:val="24"/>
        </w:rPr>
        <w:t>30</w:t>
      </w:r>
      <w:r>
        <w:rPr>
          <w:rFonts w:ascii="宋体" w:hAnsi="宋体" w:cs="宋体" w:hint="eastAsia"/>
          <w:sz w:val="24"/>
        </w:rPr>
        <w:t>分钟内，接到维</w:t>
      </w:r>
      <w:r>
        <w:rPr>
          <w:rFonts w:ascii="宋体" w:hAnsi="宋体" w:cs="宋体" w:hint="eastAsia"/>
          <w:sz w:val="24"/>
        </w:rPr>
        <w:t>修电话后，</w:t>
      </w:r>
      <w:r>
        <w:rPr>
          <w:rFonts w:ascii="宋体" w:hAnsi="宋体" w:cs="宋体" w:hint="eastAsia"/>
          <w:sz w:val="24"/>
        </w:rPr>
        <w:t>12</w:t>
      </w:r>
      <w:r>
        <w:rPr>
          <w:rFonts w:ascii="宋体" w:hAnsi="宋体" w:cs="宋体" w:hint="eastAsia"/>
          <w:sz w:val="24"/>
        </w:rPr>
        <w:t>小时内到达现场。</w:t>
      </w:r>
    </w:p>
    <w:p w14:paraId="7E84D78B"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★开机</w:t>
      </w:r>
      <w:proofErr w:type="gramStart"/>
      <w:r>
        <w:rPr>
          <w:rFonts w:ascii="宋体" w:hAnsi="宋体" w:cs="宋体" w:hint="eastAsia"/>
          <w:sz w:val="24"/>
        </w:rPr>
        <w:t>率确保</w:t>
      </w:r>
      <w:proofErr w:type="gramEnd"/>
      <w:r>
        <w:rPr>
          <w:rFonts w:ascii="宋体" w:hAnsi="宋体" w:cs="宋体" w:hint="eastAsia"/>
          <w:sz w:val="24"/>
        </w:rPr>
        <w:t>达到</w:t>
      </w:r>
      <w:r>
        <w:rPr>
          <w:rFonts w:ascii="宋体" w:hAnsi="宋体" w:cs="宋体" w:hint="eastAsia"/>
          <w:sz w:val="24"/>
        </w:rPr>
        <w:t>95%</w:t>
      </w:r>
      <w:r>
        <w:rPr>
          <w:rFonts w:ascii="宋体" w:hAnsi="宋体" w:cs="宋体" w:hint="eastAsia"/>
          <w:sz w:val="24"/>
        </w:rPr>
        <w:t>，按全年</w:t>
      </w:r>
      <w:r>
        <w:rPr>
          <w:rFonts w:ascii="宋体" w:hAnsi="宋体" w:cs="宋体" w:hint="eastAsia"/>
          <w:sz w:val="24"/>
        </w:rPr>
        <w:t>365</w:t>
      </w:r>
      <w:r>
        <w:rPr>
          <w:rFonts w:ascii="宋体" w:hAnsi="宋体" w:cs="宋体" w:hint="eastAsia"/>
          <w:sz w:val="24"/>
        </w:rPr>
        <w:t>天计算；开机率达不到</w:t>
      </w:r>
      <w:r>
        <w:rPr>
          <w:rFonts w:ascii="宋体" w:hAnsi="宋体" w:cs="宋体" w:hint="eastAsia"/>
          <w:sz w:val="24"/>
        </w:rPr>
        <w:t>95</w:t>
      </w:r>
      <w:r>
        <w:rPr>
          <w:rFonts w:ascii="宋体" w:hAnsi="宋体" w:cs="宋体" w:hint="eastAsia"/>
          <w:sz w:val="24"/>
        </w:rPr>
        <w:t>％的情况下停机时间一天保修期顺延两天（按停机天数乘以</w:t>
      </w:r>
      <w:r>
        <w:rPr>
          <w:rFonts w:ascii="宋体" w:hAnsi="宋体" w:cs="宋体" w:hint="eastAsia"/>
          <w:sz w:val="24"/>
        </w:rPr>
        <w:t>2</w:t>
      </w:r>
      <w:r>
        <w:rPr>
          <w:rFonts w:ascii="宋体" w:hAnsi="宋体" w:cs="宋体" w:hint="eastAsia"/>
          <w:sz w:val="24"/>
        </w:rPr>
        <w:t>）。</w:t>
      </w:r>
    </w:p>
    <w:p w14:paraId="4E123770"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每台设备提供</w:t>
      </w:r>
      <w:r>
        <w:rPr>
          <w:rFonts w:ascii="宋体" w:hAnsi="宋体" w:cs="宋体" w:hint="eastAsia"/>
          <w:sz w:val="24"/>
        </w:rPr>
        <w:t>≥</w:t>
      </w:r>
      <w:r>
        <w:rPr>
          <w:rFonts w:ascii="宋体" w:hAnsi="宋体" w:cs="宋体" w:hint="eastAsia"/>
          <w:sz w:val="24"/>
        </w:rPr>
        <w:t>4</w:t>
      </w:r>
      <w:r>
        <w:rPr>
          <w:rFonts w:ascii="宋体" w:hAnsi="宋体" w:cs="宋体" w:hint="eastAsia"/>
          <w:sz w:val="24"/>
        </w:rPr>
        <w:t>次全套的现场维护保养，包括机器清洁，安全、</w:t>
      </w:r>
      <w:r>
        <w:rPr>
          <w:rFonts w:ascii="宋体" w:hAnsi="宋体" w:cs="宋体" w:hint="eastAsia"/>
          <w:sz w:val="24"/>
        </w:rPr>
        <w:t xml:space="preserve"> </w:t>
      </w:r>
      <w:r>
        <w:rPr>
          <w:rFonts w:ascii="宋体" w:hAnsi="宋体" w:cs="宋体" w:hint="eastAsia"/>
          <w:sz w:val="24"/>
        </w:rPr>
        <w:t>性能测试及校准，必要的机械或电气的检查，非紧急性质的预防性维护以及确保系统按照制造商的设备性能标准运行的其他维护、调试及参数校正。保养后提供详细保养清单</w:t>
      </w:r>
      <w:r>
        <w:rPr>
          <w:rFonts w:ascii="宋体" w:hAnsi="宋体" w:cs="宋体" w:hint="eastAsia"/>
          <w:sz w:val="24"/>
        </w:rPr>
        <w:t>（附保养前后对比图），</w:t>
      </w:r>
      <w:proofErr w:type="gramStart"/>
      <w:r>
        <w:rPr>
          <w:rFonts w:ascii="宋体" w:hAnsi="宋体" w:cs="宋体" w:hint="eastAsia"/>
          <w:sz w:val="24"/>
        </w:rPr>
        <w:t>维保到期</w:t>
      </w:r>
      <w:proofErr w:type="gramEnd"/>
      <w:r>
        <w:rPr>
          <w:rFonts w:ascii="宋体" w:hAnsi="宋体" w:cs="宋体" w:hint="eastAsia"/>
          <w:sz w:val="24"/>
        </w:rPr>
        <w:t>后提供</w:t>
      </w:r>
      <w:proofErr w:type="gramStart"/>
      <w:r>
        <w:rPr>
          <w:rFonts w:ascii="宋体" w:hAnsi="宋体" w:cs="宋体" w:hint="eastAsia"/>
          <w:sz w:val="24"/>
        </w:rPr>
        <w:t>年度维保报告</w:t>
      </w:r>
      <w:proofErr w:type="gramEnd"/>
      <w:r>
        <w:rPr>
          <w:rFonts w:ascii="宋体" w:hAnsi="宋体" w:cs="宋体" w:hint="eastAsia"/>
          <w:sz w:val="24"/>
        </w:rPr>
        <w:t>。</w:t>
      </w:r>
    </w:p>
    <w:p w14:paraId="6070C5D2"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具有专业</w:t>
      </w:r>
      <w:proofErr w:type="gramStart"/>
      <w:r>
        <w:rPr>
          <w:rFonts w:ascii="宋体" w:hAnsi="宋体" w:cs="宋体" w:hint="eastAsia"/>
          <w:sz w:val="24"/>
        </w:rPr>
        <w:t>的</w:t>
      </w:r>
      <w:r>
        <w:rPr>
          <w:rFonts w:ascii="宋体" w:hAnsi="宋体" w:cs="宋体" w:hint="eastAsia"/>
          <w:sz w:val="24"/>
        </w:rPr>
        <w:t>维保</w:t>
      </w:r>
      <w:r>
        <w:rPr>
          <w:rFonts w:ascii="宋体" w:hAnsi="宋体" w:cs="宋体" w:hint="eastAsia"/>
          <w:sz w:val="24"/>
        </w:rPr>
        <w:t>服务</w:t>
      </w:r>
      <w:proofErr w:type="gramEnd"/>
      <w:r>
        <w:rPr>
          <w:rFonts w:ascii="宋体" w:hAnsi="宋体" w:cs="宋体" w:hint="eastAsia"/>
          <w:sz w:val="24"/>
        </w:rPr>
        <w:t>团队，有相应的维修工程师，</w:t>
      </w:r>
      <w:r>
        <w:rPr>
          <w:rFonts w:ascii="宋体" w:hAnsi="宋体" w:cs="宋体"/>
          <w:sz w:val="24"/>
        </w:rPr>
        <w:t>，提供至少</w:t>
      </w:r>
      <w:r>
        <w:rPr>
          <w:rFonts w:ascii="宋体" w:hAnsi="宋体" w:cs="宋体"/>
          <w:sz w:val="24"/>
        </w:rPr>
        <w:t>2</w:t>
      </w:r>
      <w:r>
        <w:rPr>
          <w:rFonts w:ascii="宋体" w:hAnsi="宋体" w:cs="宋体"/>
          <w:sz w:val="24"/>
        </w:rPr>
        <w:t>名工程师的加速器维修资质认证</w:t>
      </w:r>
      <w:r>
        <w:rPr>
          <w:rFonts w:ascii="宋体" w:hAnsi="宋体" w:cs="宋体" w:hint="eastAsia"/>
          <w:sz w:val="24"/>
        </w:rPr>
        <w:t>，</w:t>
      </w:r>
      <w:r>
        <w:rPr>
          <w:rFonts w:ascii="宋体" w:hAnsi="宋体" w:cs="宋体"/>
          <w:sz w:val="24"/>
        </w:rPr>
        <w:t>具备放疗软</w:t>
      </w:r>
      <w:r>
        <w:rPr>
          <w:rFonts w:ascii="宋体" w:hAnsi="宋体" w:cs="宋体"/>
          <w:sz w:val="24"/>
        </w:rPr>
        <w:t>件产品的维修</w:t>
      </w:r>
      <w:r>
        <w:rPr>
          <w:rFonts w:ascii="宋体" w:hAnsi="宋体" w:cs="宋体"/>
          <w:sz w:val="24"/>
        </w:rPr>
        <w:t>能力</w:t>
      </w:r>
      <w:r>
        <w:rPr>
          <w:rFonts w:ascii="宋体" w:hAnsi="宋体" w:cs="宋体" w:hint="eastAsia"/>
          <w:sz w:val="24"/>
        </w:rPr>
        <w:t>，需提供原厂培训证书（需提供证明材料）</w:t>
      </w:r>
      <w:r>
        <w:rPr>
          <w:rFonts w:ascii="宋体" w:hAnsi="宋体" w:cs="宋体"/>
          <w:sz w:val="24"/>
        </w:rPr>
        <w:t>。</w:t>
      </w:r>
    </w:p>
    <w:p w14:paraId="0B2724A1"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投标方应自有独立的人员培训场地，能提供医科</w:t>
      </w:r>
      <w:proofErr w:type="gramStart"/>
      <w:r>
        <w:rPr>
          <w:rFonts w:ascii="宋体" w:hAnsi="宋体" w:cs="宋体" w:hint="eastAsia"/>
          <w:sz w:val="24"/>
        </w:rPr>
        <w:t>达培训</w:t>
      </w:r>
      <w:proofErr w:type="gramEnd"/>
      <w:r>
        <w:rPr>
          <w:rFonts w:ascii="宋体" w:hAnsi="宋体" w:cs="宋体" w:hint="eastAsia"/>
          <w:sz w:val="24"/>
        </w:rPr>
        <w:t>样机用于维修实践教学培训</w:t>
      </w:r>
      <w:r>
        <w:rPr>
          <w:rFonts w:ascii="宋体" w:hAnsi="宋体" w:cs="宋体" w:hint="eastAsia"/>
          <w:sz w:val="24"/>
        </w:rPr>
        <w:t>（需提供证明）。</w:t>
      </w:r>
    </w:p>
    <w:p w14:paraId="5197C209" w14:textId="77777777" w:rsidR="00CA6BBA" w:rsidRDefault="00656827">
      <w:pPr>
        <w:numPr>
          <w:ilvl w:val="0"/>
          <w:numId w:val="2"/>
        </w:numPr>
        <w:spacing w:line="360" w:lineRule="auto"/>
      </w:pPr>
      <w:r>
        <w:rPr>
          <w:rFonts w:ascii="宋体" w:hAnsi="宋体" w:cs="宋体" w:hint="eastAsia"/>
          <w:sz w:val="24"/>
        </w:rPr>
        <w:t>业绩资料：</w:t>
      </w:r>
      <w:r>
        <w:rPr>
          <w:rFonts w:ascii="宋体" w:hAnsi="宋体" w:cs="宋体" w:hint="eastAsia"/>
          <w:sz w:val="24"/>
        </w:rPr>
        <w:t>提供近三年（以合同签订日为准）至今（招标公告日期）完成的医科</w:t>
      </w:r>
      <w:proofErr w:type="gramStart"/>
      <w:r>
        <w:rPr>
          <w:rFonts w:ascii="宋体" w:hAnsi="宋体" w:cs="宋体" w:hint="eastAsia"/>
          <w:sz w:val="24"/>
        </w:rPr>
        <w:t>达设备</w:t>
      </w:r>
      <w:proofErr w:type="gramEnd"/>
      <w:r>
        <w:rPr>
          <w:rFonts w:ascii="宋体" w:hAnsi="宋体" w:cs="宋体" w:hint="eastAsia"/>
          <w:sz w:val="24"/>
        </w:rPr>
        <w:t>全保合同业绩</w:t>
      </w:r>
    </w:p>
    <w:p w14:paraId="32A52FA1" w14:textId="77777777" w:rsidR="00CA6BBA" w:rsidRDefault="00656827">
      <w:pPr>
        <w:numPr>
          <w:ilvl w:val="0"/>
          <w:numId w:val="2"/>
        </w:numPr>
        <w:spacing w:line="360" w:lineRule="auto"/>
        <w:rPr>
          <w:rFonts w:ascii="宋体" w:hAnsi="宋体" w:cs="宋体"/>
          <w:sz w:val="24"/>
        </w:rPr>
      </w:pPr>
      <w:r>
        <w:rPr>
          <w:rFonts w:ascii="宋体" w:hAnsi="宋体" w:cs="宋体" w:hint="eastAsia"/>
          <w:sz w:val="24"/>
        </w:rPr>
        <w:t>投标单位提供</w:t>
      </w:r>
      <w:r>
        <w:rPr>
          <w:rFonts w:ascii="宋体" w:hAnsi="宋体" w:cs="宋体" w:hint="eastAsia"/>
          <w:sz w:val="24"/>
        </w:rPr>
        <w:t>ISO9001</w:t>
      </w:r>
      <w:r>
        <w:rPr>
          <w:rFonts w:ascii="宋体" w:hAnsi="宋体" w:cs="宋体" w:hint="eastAsia"/>
          <w:sz w:val="24"/>
        </w:rPr>
        <w:t>质量管理体系证书；</w:t>
      </w:r>
      <w:r>
        <w:rPr>
          <w:rFonts w:ascii="宋体" w:hAnsi="宋体" w:cs="宋体" w:hint="eastAsia"/>
          <w:sz w:val="24"/>
        </w:rPr>
        <w:t>ISO45001</w:t>
      </w:r>
      <w:r>
        <w:rPr>
          <w:rFonts w:ascii="宋体" w:hAnsi="宋体" w:cs="宋体" w:hint="eastAsia"/>
          <w:sz w:val="24"/>
        </w:rPr>
        <w:t>职业健康安全管理体系认证证书；</w:t>
      </w:r>
      <w:r>
        <w:rPr>
          <w:rFonts w:ascii="宋体" w:hAnsi="宋体" w:cs="宋体" w:hint="eastAsia"/>
          <w:sz w:val="24"/>
        </w:rPr>
        <w:t>ISO14001</w:t>
      </w:r>
      <w:r>
        <w:rPr>
          <w:rFonts w:ascii="宋体" w:hAnsi="宋体" w:cs="宋体" w:hint="eastAsia"/>
          <w:sz w:val="24"/>
        </w:rPr>
        <w:t>环境管理体系认证证书；国家高新技术企业。</w:t>
      </w:r>
    </w:p>
    <w:p w14:paraId="2AD6EF1B" w14:textId="77777777" w:rsidR="00CA6BBA" w:rsidRDefault="00CA6BBA">
      <w:pPr>
        <w:pStyle w:val="20"/>
      </w:pPr>
    </w:p>
    <w:p w14:paraId="568560A8" w14:textId="77777777" w:rsidR="00CA6BBA" w:rsidRDefault="00656827">
      <w:pPr>
        <w:pStyle w:val="20"/>
        <w:spacing w:line="300" w:lineRule="auto"/>
        <w:ind w:leftChars="0" w:left="0"/>
        <w:rPr>
          <w:b/>
          <w:sz w:val="24"/>
          <w:szCs w:val="20"/>
        </w:rPr>
      </w:pPr>
      <w:r>
        <w:rPr>
          <w:rFonts w:hint="eastAsia"/>
          <w:b/>
          <w:sz w:val="24"/>
          <w:szCs w:val="20"/>
        </w:rPr>
        <w:t>注：“★”为核心必选参数（实质性响应参数）。</w:t>
      </w:r>
    </w:p>
    <w:p w14:paraId="07CA255A" w14:textId="77777777" w:rsidR="00CA6BBA" w:rsidRDefault="00CA6BBA">
      <w:pPr>
        <w:pStyle w:val="20"/>
      </w:pPr>
    </w:p>
    <w:p w14:paraId="14E19E28" w14:textId="77777777" w:rsidR="00CA6BBA" w:rsidRDefault="00CA6BBA">
      <w:pPr>
        <w:rPr>
          <w:rFonts w:ascii="宋体" w:hAnsi="宋体" w:cs="宋体"/>
        </w:rPr>
      </w:pPr>
    </w:p>
    <w:p w14:paraId="317BD8E8" w14:textId="77777777" w:rsidR="00CA6BBA" w:rsidRDefault="00CA6BBA">
      <w:pPr>
        <w:pStyle w:val="21"/>
        <w:rPr>
          <w:rFonts w:ascii="宋体" w:hAnsi="宋体" w:cs="宋体"/>
        </w:rPr>
      </w:pPr>
    </w:p>
    <w:sectPr w:rsidR="00CA6B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B2277" w14:textId="77777777" w:rsidR="00656827" w:rsidRDefault="00656827" w:rsidP="00ED34ED">
      <w:r>
        <w:separator/>
      </w:r>
    </w:p>
  </w:endnote>
  <w:endnote w:type="continuationSeparator" w:id="0">
    <w:p w14:paraId="314EAA3B" w14:textId="77777777" w:rsidR="00656827" w:rsidRDefault="00656827" w:rsidP="00ED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9B460" w14:textId="77777777" w:rsidR="00656827" w:rsidRDefault="00656827" w:rsidP="00ED34ED">
      <w:r>
        <w:separator/>
      </w:r>
    </w:p>
  </w:footnote>
  <w:footnote w:type="continuationSeparator" w:id="0">
    <w:p w14:paraId="6C2EC904" w14:textId="77777777" w:rsidR="00656827" w:rsidRDefault="00656827" w:rsidP="00ED3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EB1C"/>
    <w:multiLevelType w:val="multilevel"/>
    <w:tmpl w:val="B9AFEB1C"/>
    <w:lvl w:ilvl="0">
      <w:start w:val="1"/>
      <w:numFmt w:val="chineseCountingThousand"/>
      <w:suff w:val="nothing"/>
      <w:lvlText w:val="第%1章 "/>
      <w:lvlJc w:val="left"/>
      <w:pPr>
        <w:ind w:left="0" w:firstLine="0"/>
      </w:pPr>
      <w:rPr>
        <w:rFonts w:ascii="黑体" w:eastAsia="黑体" w:hAnsi="黑体" w:hint="eastAsia"/>
        <w:b w:val="0"/>
        <w:i w:val="0"/>
        <w:sz w:val="32"/>
      </w:rPr>
    </w:lvl>
    <w:lvl w:ilvl="1">
      <w:start w:val="1"/>
      <w:numFmt w:val="chineseCountingThousand"/>
      <w:suff w:val="nothing"/>
      <w:lvlText w:val="%2、"/>
      <w:lvlJc w:val="left"/>
      <w:pPr>
        <w:ind w:left="0" w:firstLine="0"/>
      </w:pPr>
      <w:rPr>
        <w:rFonts w:ascii="Times New Roman" w:eastAsia="黑体" w:hAnsi="Times New Roman" w:hint="eastAsia"/>
        <w:b w:val="0"/>
        <w:i w:val="0"/>
        <w:sz w:val="32"/>
      </w:rPr>
    </w:lvl>
    <w:lvl w:ilvl="2">
      <w:start w:val="1"/>
      <w:numFmt w:val="decimal"/>
      <w:pStyle w:val="3"/>
      <w:suff w:val="nothing"/>
      <w:lvlText w:val="%3."/>
      <w:lvlJc w:val="left"/>
      <w:pPr>
        <w:ind w:left="3150" w:firstLine="0"/>
      </w:pPr>
      <w:rPr>
        <w:rFonts w:ascii="Times New Roman" w:eastAsia="黑体" w:hAnsi="Times New Roman" w:hint="eastAsia"/>
        <w:b w:val="0"/>
        <w:i w:val="0"/>
        <w:sz w:val="30"/>
      </w:rPr>
    </w:lvl>
    <w:lvl w:ilvl="3">
      <w:start w:val="1"/>
      <w:numFmt w:val="decimal"/>
      <w:pStyle w:val="4"/>
      <w:suff w:val="nothing"/>
      <w:lvlText w:val="%3.%4 "/>
      <w:lvlJc w:val="left"/>
      <w:pPr>
        <w:ind w:left="420" w:firstLine="0"/>
      </w:pPr>
      <w:rPr>
        <w:rFonts w:ascii="Times New Roman" w:eastAsia="宋体" w:hAnsi="Times New Roman" w:hint="eastAsia"/>
        <w:b w:val="0"/>
        <w:i w:val="0"/>
        <w:sz w:val="28"/>
      </w:rPr>
    </w:lvl>
    <w:lvl w:ilvl="4">
      <w:start w:val="1"/>
      <w:numFmt w:val="decimal"/>
      <w:suff w:val="nothing"/>
      <w:lvlText w:val="%3.%4.%5 "/>
      <w:lvlJc w:val="left"/>
      <w:pPr>
        <w:ind w:left="0" w:firstLine="0"/>
      </w:pPr>
      <w:rPr>
        <w:rFonts w:ascii="Times New Roman" w:eastAsia="宋体" w:hAnsi="Times New Roman" w:hint="eastAsia"/>
        <w:b w:val="0"/>
        <w:i w:val="0"/>
        <w:sz w:val="24"/>
      </w:rPr>
    </w:lvl>
    <w:lvl w:ilvl="5">
      <w:start w:val="1"/>
      <w:numFmt w:val="decimal"/>
      <w:suff w:val="nothing"/>
      <w:lvlText w:val="%3.%4.%5.%6 "/>
      <w:lvlJc w:val="left"/>
      <w:pPr>
        <w:ind w:left="0" w:firstLine="0"/>
      </w:pPr>
      <w:rPr>
        <w:rFonts w:ascii="Times New Roman" w:eastAsia="宋体" w:hAnsi="Times New Roman" w:hint="eastAsia"/>
        <w:b w:val="0"/>
        <w:i w:val="0"/>
        <w:sz w:val="24"/>
      </w:rPr>
    </w:lvl>
    <w:lvl w:ilvl="6">
      <w:start w:val="1"/>
      <w:numFmt w:val="decimal"/>
      <w:suff w:val="nothing"/>
      <w:lvlText w:val="%3.%4.%5.%6.%7 "/>
      <w:lvlJc w:val="left"/>
      <w:pPr>
        <w:ind w:left="0" w:firstLine="0"/>
      </w:pPr>
      <w:rPr>
        <w:rFonts w:ascii="Times New Roman" w:eastAsia="宋体" w:hAnsi="Times New Roman" w:hint="eastAsia"/>
        <w:b w:val="0"/>
        <w:i w:val="0"/>
        <w:sz w:val="24"/>
      </w:rPr>
    </w:lvl>
    <w:lvl w:ilvl="7">
      <w:start w:val="1"/>
      <w:numFmt w:val="decimal"/>
      <w:suff w:val="nothing"/>
      <w:lvlText w:val="%3.%4.%5.%6.%7.%8 "/>
      <w:lvlJc w:val="left"/>
      <w:pPr>
        <w:ind w:left="0" w:firstLine="0"/>
      </w:pPr>
      <w:rPr>
        <w:rFonts w:ascii="Times New Roman" w:eastAsia="宋体" w:hAnsi="Times New Roman" w:hint="eastAsia"/>
        <w:b w:val="0"/>
        <w:i w:val="0"/>
        <w:sz w:val="24"/>
      </w:rPr>
    </w:lvl>
    <w:lvl w:ilvl="8">
      <w:start w:val="1"/>
      <w:numFmt w:val="decimal"/>
      <w:suff w:val="nothing"/>
      <w:lvlText w:val="%3.%4.%5.%6.%7.%8.%9 "/>
      <w:lvlJc w:val="left"/>
      <w:pPr>
        <w:ind w:left="0" w:firstLine="0"/>
      </w:pPr>
      <w:rPr>
        <w:rFonts w:ascii="Times New Roman" w:eastAsia="宋体" w:hAnsi="Times New Roman" w:hint="eastAsia"/>
        <w:b w:val="0"/>
        <w:i w:val="0"/>
        <w:sz w:val="21"/>
      </w:rPr>
    </w:lvl>
  </w:abstractNum>
  <w:abstractNum w:abstractNumId="1">
    <w:nsid w:val="2AD6B041"/>
    <w:multiLevelType w:val="multilevel"/>
    <w:tmpl w:val="2AD6B041"/>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MGJkZDdhMWFmMjJkMjdhOTI0ZjE2MzM5YmJjZTAifQ=="/>
  </w:docVars>
  <w:rsids>
    <w:rsidRoot w:val="327C16DF"/>
    <w:rsid w:val="00656827"/>
    <w:rsid w:val="00CA6BBA"/>
    <w:rsid w:val="00ED34ED"/>
    <w:rsid w:val="01D45075"/>
    <w:rsid w:val="024B505A"/>
    <w:rsid w:val="03DD6186"/>
    <w:rsid w:val="048B7990"/>
    <w:rsid w:val="05245BDC"/>
    <w:rsid w:val="05DD06BF"/>
    <w:rsid w:val="062514C2"/>
    <w:rsid w:val="07CC2452"/>
    <w:rsid w:val="09BE32A2"/>
    <w:rsid w:val="0A6749FB"/>
    <w:rsid w:val="0AD407F6"/>
    <w:rsid w:val="0B923CFA"/>
    <w:rsid w:val="0BEB6F66"/>
    <w:rsid w:val="0CF330C8"/>
    <w:rsid w:val="0D713906"/>
    <w:rsid w:val="0DE90C17"/>
    <w:rsid w:val="0EF54EE0"/>
    <w:rsid w:val="11643A43"/>
    <w:rsid w:val="11746525"/>
    <w:rsid w:val="118E3CCC"/>
    <w:rsid w:val="11D32976"/>
    <w:rsid w:val="12722B14"/>
    <w:rsid w:val="128D521B"/>
    <w:rsid w:val="134F427F"/>
    <w:rsid w:val="13F7169A"/>
    <w:rsid w:val="148443FC"/>
    <w:rsid w:val="14942891"/>
    <w:rsid w:val="14F973F5"/>
    <w:rsid w:val="15852CA8"/>
    <w:rsid w:val="165A5414"/>
    <w:rsid w:val="17155AED"/>
    <w:rsid w:val="173A4777"/>
    <w:rsid w:val="17A252C5"/>
    <w:rsid w:val="1A4E3CEA"/>
    <w:rsid w:val="1AD25EC1"/>
    <w:rsid w:val="1AF6071E"/>
    <w:rsid w:val="1BF57CD4"/>
    <w:rsid w:val="1D314878"/>
    <w:rsid w:val="1FC63B1B"/>
    <w:rsid w:val="207D242B"/>
    <w:rsid w:val="2081107C"/>
    <w:rsid w:val="208E4EA3"/>
    <w:rsid w:val="20967991"/>
    <w:rsid w:val="209854B7"/>
    <w:rsid w:val="21093CBF"/>
    <w:rsid w:val="22C32593"/>
    <w:rsid w:val="22E456C8"/>
    <w:rsid w:val="23C84B8D"/>
    <w:rsid w:val="24C0322E"/>
    <w:rsid w:val="24E231A5"/>
    <w:rsid w:val="25034EC9"/>
    <w:rsid w:val="266B6B6E"/>
    <w:rsid w:val="2670658E"/>
    <w:rsid w:val="26AD120D"/>
    <w:rsid w:val="272F01F7"/>
    <w:rsid w:val="276460F3"/>
    <w:rsid w:val="28966EA7"/>
    <w:rsid w:val="289C366A"/>
    <w:rsid w:val="292A1D28"/>
    <w:rsid w:val="29DB4666"/>
    <w:rsid w:val="2B6D4E4F"/>
    <w:rsid w:val="2BC31125"/>
    <w:rsid w:val="2BFF463C"/>
    <w:rsid w:val="2CC87124"/>
    <w:rsid w:val="2D376058"/>
    <w:rsid w:val="2E8E4CE9"/>
    <w:rsid w:val="2E982B26"/>
    <w:rsid w:val="2EB77450"/>
    <w:rsid w:val="2F126434"/>
    <w:rsid w:val="2FE91472"/>
    <w:rsid w:val="30560C77"/>
    <w:rsid w:val="3086532C"/>
    <w:rsid w:val="32672F3B"/>
    <w:rsid w:val="327C16DF"/>
    <w:rsid w:val="3292278D"/>
    <w:rsid w:val="33CC4425"/>
    <w:rsid w:val="354E03E2"/>
    <w:rsid w:val="36877708"/>
    <w:rsid w:val="36AB6939"/>
    <w:rsid w:val="376535EE"/>
    <w:rsid w:val="387D6CAD"/>
    <w:rsid w:val="38A34BF8"/>
    <w:rsid w:val="38EC2DBC"/>
    <w:rsid w:val="3962620A"/>
    <w:rsid w:val="3A190FBF"/>
    <w:rsid w:val="3BE53121"/>
    <w:rsid w:val="3BF82E56"/>
    <w:rsid w:val="3D8175A7"/>
    <w:rsid w:val="3F892743"/>
    <w:rsid w:val="403221B3"/>
    <w:rsid w:val="41142891"/>
    <w:rsid w:val="41BE244C"/>
    <w:rsid w:val="43E4263E"/>
    <w:rsid w:val="445F1CC4"/>
    <w:rsid w:val="447D65EE"/>
    <w:rsid w:val="44A1052F"/>
    <w:rsid w:val="450A08F4"/>
    <w:rsid w:val="45303118"/>
    <w:rsid w:val="45717F01"/>
    <w:rsid w:val="45950735"/>
    <w:rsid w:val="46607654"/>
    <w:rsid w:val="46A71088"/>
    <w:rsid w:val="46CE7F5A"/>
    <w:rsid w:val="47026015"/>
    <w:rsid w:val="472471F5"/>
    <w:rsid w:val="47CA56A6"/>
    <w:rsid w:val="48C90EB1"/>
    <w:rsid w:val="493635D6"/>
    <w:rsid w:val="49F033BE"/>
    <w:rsid w:val="4A712751"/>
    <w:rsid w:val="4C177328"/>
    <w:rsid w:val="4CDF5853"/>
    <w:rsid w:val="4D302450"/>
    <w:rsid w:val="4EB9036C"/>
    <w:rsid w:val="4EE0160D"/>
    <w:rsid w:val="4F281560"/>
    <w:rsid w:val="4F3860E4"/>
    <w:rsid w:val="4FDE27BF"/>
    <w:rsid w:val="504B57F2"/>
    <w:rsid w:val="509A1A32"/>
    <w:rsid w:val="515E5734"/>
    <w:rsid w:val="51D33ED0"/>
    <w:rsid w:val="520D22B9"/>
    <w:rsid w:val="536D782E"/>
    <w:rsid w:val="542D33AC"/>
    <w:rsid w:val="54992125"/>
    <w:rsid w:val="55202DAA"/>
    <w:rsid w:val="55603AEE"/>
    <w:rsid w:val="56617B1E"/>
    <w:rsid w:val="5712706A"/>
    <w:rsid w:val="57403E25"/>
    <w:rsid w:val="57776ECD"/>
    <w:rsid w:val="58615653"/>
    <w:rsid w:val="59CF4516"/>
    <w:rsid w:val="5A166E71"/>
    <w:rsid w:val="5AC468CD"/>
    <w:rsid w:val="5AD52888"/>
    <w:rsid w:val="5B995905"/>
    <w:rsid w:val="5BBD2464"/>
    <w:rsid w:val="5C031505"/>
    <w:rsid w:val="5C757891"/>
    <w:rsid w:val="5CA31E55"/>
    <w:rsid w:val="5E3478C6"/>
    <w:rsid w:val="5EB32EE1"/>
    <w:rsid w:val="5EF23A4F"/>
    <w:rsid w:val="5FA6034F"/>
    <w:rsid w:val="601D2D07"/>
    <w:rsid w:val="61E433B1"/>
    <w:rsid w:val="63D47B81"/>
    <w:rsid w:val="6490091B"/>
    <w:rsid w:val="655110C2"/>
    <w:rsid w:val="65856C59"/>
    <w:rsid w:val="65B337C6"/>
    <w:rsid w:val="662E7E25"/>
    <w:rsid w:val="679A69EC"/>
    <w:rsid w:val="67B101D9"/>
    <w:rsid w:val="67EE4F89"/>
    <w:rsid w:val="682D7860"/>
    <w:rsid w:val="6A777EF7"/>
    <w:rsid w:val="6CC01B84"/>
    <w:rsid w:val="6D317DF2"/>
    <w:rsid w:val="6D673814"/>
    <w:rsid w:val="6E0E3488"/>
    <w:rsid w:val="6EC86534"/>
    <w:rsid w:val="6ED07197"/>
    <w:rsid w:val="6F0A4EB7"/>
    <w:rsid w:val="6F1572A0"/>
    <w:rsid w:val="6F255735"/>
    <w:rsid w:val="6F257D46"/>
    <w:rsid w:val="70585696"/>
    <w:rsid w:val="70983CE4"/>
    <w:rsid w:val="71881FAB"/>
    <w:rsid w:val="719E357C"/>
    <w:rsid w:val="720C58E5"/>
    <w:rsid w:val="729D55E2"/>
    <w:rsid w:val="73AB01D2"/>
    <w:rsid w:val="73D53350"/>
    <w:rsid w:val="7458378E"/>
    <w:rsid w:val="74675EA7"/>
    <w:rsid w:val="75874327"/>
    <w:rsid w:val="76472434"/>
    <w:rsid w:val="764C7A4B"/>
    <w:rsid w:val="765A3553"/>
    <w:rsid w:val="77456248"/>
    <w:rsid w:val="78484242"/>
    <w:rsid w:val="79597E26"/>
    <w:rsid w:val="7A835A05"/>
    <w:rsid w:val="7B1F572E"/>
    <w:rsid w:val="7C350AA7"/>
    <w:rsid w:val="7CA872B4"/>
    <w:rsid w:val="7D584EB5"/>
    <w:rsid w:val="7D7A30EF"/>
    <w:rsid w:val="7F5E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9" w:qFormat="1"/>
    <w:lsdException w:name="Normal Indent" w:qFormat="1"/>
    <w:lsdException w:name="caption" w:semiHidden="1" w:unhideWhenUsed="1" w:qFormat="1"/>
    <w:lsdException w:name="table of figures" w:qFormat="1"/>
    <w:lsdException w:name="envelope return" w:uiPriority="99"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jc w:val="center"/>
      <w:outlineLvl w:val="0"/>
    </w:pPr>
    <w:rPr>
      <w:rFonts w:ascii="宋体" w:hAnsi="宋体" w:cs="宋体"/>
      <w:b/>
      <w:bCs/>
      <w:snapToGrid w:val="0"/>
      <w:color w:val="000000"/>
      <w:kern w:val="44"/>
      <w:sz w:val="32"/>
      <w:szCs w:val="32"/>
      <w:lang w:eastAsia="en-US"/>
    </w:rPr>
  </w:style>
  <w:style w:type="paragraph" w:styleId="2">
    <w:name w:val="heading 2"/>
    <w:basedOn w:val="a"/>
    <w:next w:val="a"/>
    <w:link w:val="2Char"/>
    <w:autoRedefine/>
    <w:semiHidden/>
    <w:unhideWhenUsed/>
    <w:qFormat/>
    <w:pPr>
      <w:keepNext/>
      <w:keepLines/>
      <w:spacing w:beforeAutospacing="1" w:after="120"/>
      <w:jc w:val="center"/>
      <w:outlineLvl w:val="1"/>
    </w:pPr>
    <w:rPr>
      <w:rFonts w:ascii="宋体" w:hAnsi="宋体"/>
      <w:b/>
      <w:bCs/>
      <w:sz w:val="30"/>
      <w:szCs w:val="30"/>
    </w:rPr>
  </w:style>
  <w:style w:type="paragraph" w:styleId="3">
    <w:name w:val="heading 3"/>
    <w:basedOn w:val="a"/>
    <w:next w:val="a"/>
    <w:link w:val="3Char"/>
    <w:autoRedefine/>
    <w:semiHidden/>
    <w:unhideWhenUsed/>
    <w:qFormat/>
    <w:pPr>
      <w:keepNext/>
      <w:keepLines/>
      <w:numPr>
        <w:ilvl w:val="2"/>
        <w:numId w:val="1"/>
      </w:numPr>
      <w:spacing w:line="360" w:lineRule="auto"/>
      <w:jc w:val="center"/>
      <w:outlineLvl w:val="2"/>
    </w:pPr>
    <w:rPr>
      <w:rFonts w:ascii="宋体" w:hAnsi="宋体" w:cs="宋体"/>
      <w:b/>
      <w:bCs/>
      <w:kern w:val="0"/>
      <w:sz w:val="28"/>
      <w:szCs w:val="28"/>
      <w:lang w:eastAsia="en-US"/>
    </w:rPr>
  </w:style>
  <w:style w:type="paragraph" w:styleId="4">
    <w:name w:val="heading 4"/>
    <w:basedOn w:val="a"/>
    <w:next w:val="a"/>
    <w:link w:val="4Char"/>
    <w:autoRedefine/>
    <w:semiHidden/>
    <w:unhideWhenUsed/>
    <w:qFormat/>
    <w:pPr>
      <w:keepNext/>
      <w:keepLines/>
      <w:numPr>
        <w:ilvl w:val="3"/>
        <w:numId w:val="1"/>
      </w:numPr>
      <w:spacing w:before="280" w:after="290" w:line="372" w:lineRule="auto"/>
      <w:outlineLvl w:val="3"/>
    </w:pPr>
    <w:rPr>
      <w:rFonts w:ascii="宋体" w:hAnsi="宋体" w:cs="宋体"/>
      <w:b/>
      <w:bCs/>
      <w:sz w:val="24"/>
    </w:rPr>
  </w:style>
  <w:style w:type="paragraph" w:styleId="5">
    <w:name w:val="heading 5"/>
    <w:basedOn w:val="a"/>
    <w:next w:val="a"/>
    <w:autoRedefine/>
    <w:semiHidden/>
    <w:unhideWhenUsed/>
    <w:qFormat/>
    <w:pPr>
      <w:keepNext/>
      <w:keepLines/>
      <w:spacing w:before="280" w:after="290" w:line="372" w:lineRule="auto"/>
      <w:ind w:left="1008" w:hanging="1008"/>
      <w:outlineLvl w:val="4"/>
    </w:pPr>
    <w:rPr>
      <w:rFonts w:ascii="宋体" w:hAnsi="宋体" w:cs="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autoRedefine/>
    <w:qFormat/>
    <w:pPr>
      <w:ind w:firstLine="425"/>
    </w:pPr>
    <w:rPr>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styleId="a4">
    <w:name w:val="Body Text"/>
    <w:basedOn w:val="a"/>
    <w:autoRedefine/>
    <w:qFormat/>
    <w:pPr>
      <w:spacing w:after="120"/>
    </w:pPr>
  </w:style>
  <w:style w:type="paragraph" w:styleId="a5">
    <w:name w:val="Body Text Indent"/>
    <w:basedOn w:val="a"/>
    <w:next w:val="a6"/>
    <w:autoRedefine/>
    <w:qFormat/>
    <w:pPr>
      <w:adjustRightInd w:val="0"/>
      <w:spacing w:after="120" w:line="360" w:lineRule="atLeast"/>
      <w:ind w:leftChars="200" w:left="420"/>
      <w:jc w:val="left"/>
      <w:textAlignment w:val="baseline"/>
    </w:pPr>
    <w:rPr>
      <w:kern w:val="0"/>
      <w:sz w:val="24"/>
      <w:szCs w:val="20"/>
    </w:rPr>
  </w:style>
  <w:style w:type="paragraph" w:styleId="a6">
    <w:name w:val="envelope return"/>
    <w:basedOn w:val="a"/>
    <w:autoRedefine/>
    <w:uiPriority w:val="99"/>
    <w:unhideWhenUsed/>
    <w:qFormat/>
    <w:pPr>
      <w:snapToGrid w:val="0"/>
    </w:pPr>
    <w:rPr>
      <w:rFonts w:ascii="Arial" w:hAnsi="Arial" w:hint="eastAsia"/>
    </w:rPr>
  </w:style>
  <w:style w:type="paragraph" w:styleId="a7">
    <w:name w:val="table of figures"/>
    <w:basedOn w:val="a"/>
    <w:next w:val="a"/>
    <w:autoRedefine/>
    <w:qFormat/>
    <w:pPr>
      <w:spacing w:line="360" w:lineRule="auto"/>
      <w:ind w:leftChars="200" w:left="200" w:hangingChars="200" w:hanging="200"/>
    </w:pPr>
    <w:rPr>
      <w:rFonts w:ascii="宋体"/>
      <w:kern w:val="0"/>
      <w:sz w:val="34"/>
      <w:szCs w:val="20"/>
    </w:rPr>
  </w:style>
  <w:style w:type="paragraph" w:styleId="20">
    <w:name w:val="toc 2"/>
    <w:basedOn w:val="a"/>
    <w:next w:val="a"/>
    <w:uiPriority w:val="39"/>
    <w:qFormat/>
    <w:pPr>
      <w:ind w:leftChars="200" w:left="420"/>
    </w:pPr>
  </w:style>
  <w:style w:type="paragraph" w:styleId="9">
    <w:name w:val="toc 9"/>
    <w:basedOn w:val="a"/>
    <w:next w:val="a"/>
    <w:autoRedefine/>
    <w:qFormat/>
    <w:pPr>
      <w:ind w:leftChars="1600" w:left="3360"/>
    </w:pPr>
  </w:style>
  <w:style w:type="paragraph" w:styleId="21">
    <w:name w:val="Body Text 2"/>
    <w:basedOn w:val="a"/>
    <w:next w:val="9"/>
    <w:autoRedefine/>
    <w:uiPriority w:val="99"/>
    <w:unhideWhenUsed/>
    <w:qFormat/>
    <w:pPr>
      <w:spacing w:after="120" w:line="480" w:lineRule="auto"/>
    </w:pPr>
  </w:style>
  <w:style w:type="paragraph" w:styleId="22">
    <w:name w:val="Body Text First Indent 2"/>
    <w:basedOn w:val="a5"/>
    <w:next w:val="a3"/>
    <w:autoRedefine/>
    <w:qFormat/>
    <w:pPr>
      <w:ind w:firstLineChars="200" w:firstLine="420"/>
    </w:pPr>
    <w:rPr>
      <w:sz w:val="32"/>
    </w:rPr>
  </w:style>
  <w:style w:type="character" w:customStyle="1" w:styleId="2Char">
    <w:name w:val="标题 2 Char"/>
    <w:link w:val="2"/>
    <w:autoRedefine/>
    <w:qFormat/>
    <w:rPr>
      <w:rFonts w:ascii="宋体" w:eastAsia="宋体" w:hAnsi="宋体" w:cs="宋体"/>
      <w:b/>
      <w:bCs/>
      <w:sz w:val="30"/>
      <w:szCs w:val="30"/>
    </w:rPr>
  </w:style>
  <w:style w:type="character" w:customStyle="1" w:styleId="3Char">
    <w:name w:val="标题 3 Char"/>
    <w:basedOn w:val="a0"/>
    <w:link w:val="3"/>
    <w:autoRedefine/>
    <w:qFormat/>
    <w:rPr>
      <w:rFonts w:ascii="宋体" w:eastAsia="宋体" w:hAnsi="宋体" w:cs="宋体"/>
      <w:b/>
      <w:kern w:val="0"/>
      <w:sz w:val="28"/>
      <w:szCs w:val="28"/>
      <w:lang w:eastAsia="en-US"/>
    </w:rPr>
  </w:style>
  <w:style w:type="character" w:customStyle="1" w:styleId="4Char">
    <w:name w:val="标题 4 Char"/>
    <w:link w:val="4"/>
    <w:autoRedefine/>
    <w:qFormat/>
    <w:rPr>
      <w:rFonts w:ascii="宋体" w:eastAsia="宋体" w:hAnsi="宋体" w:cs="宋体"/>
      <w:b/>
      <w:bCs/>
      <w:sz w:val="24"/>
      <w:szCs w:val="24"/>
    </w:rPr>
  </w:style>
  <w:style w:type="paragraph" w:customStyle="1" w:styleId="TableParagraph">
    <w:name w:val="Table Paragraph"/>
    <w:basedOn w:val="a"/>
    <w:autoRedefine/>
    <w:uiPriority w:val="1"/>
    <w:qFormat/>
  </w:style>
  <w:style w:type="paragraph" w:styleId="a8">
    <w:name w:val="header"/>
    <w:basedOn w:val="a"/>
    <w:link w:val="Char"/>
    <w:rsid w:val="00ED3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D34ED"/>
    <w:rPr>
      <w:kern w:val="2"/>
      <w:sz w:val="18"/>
      <w:szCs w:val="18"/>
    </w:rPr>
  </w:style>
  <w:style w:type="paragraph" w:styleId="a9">
    <w:name w:val="footer"/>
    <w:basedOn w:val="a"/>
    <w:link w:val="Char0"/>
    <w:rsid w:val="00ED34ED"/>
    <w:pPr>
      <w:tabs>
        <w:tab w:val="center" w:pos="4153"/>
        <w:tab w:val="right" w:pos="8306"/>
      </w:tabs>
      <w:snapToGrid w:val="0"/>
      <w:jc w:val="left"/>
    </w:pPr>
    <w:rPr>
      <w:sz w:val="18"/>
      <w:szCs w:val="18"/>
    </w:rPr>
  </w:style>
  <w:style w:type="character" w:customStyle="1" w:styleId="Char0">
    <w:name w:val="页脚 Char"/>
    <w:basedOn w:val="a0"/>
    <w:link w:val="a9"/>
    <w:rsid w:val="00ED34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9" w:qFormat="1"/>
    <w:lsdException w:name="Normal Indent" w:qFormat="1"/>
    <w:lsdException w:name="caption" w:semiHidden="1" w:unhideWhenUsed="1" w:qFormat="1"/>
    <w:lsdException w:name="table of figures" w:qFormat="1"/>
    <w:lsdException w:name="envelope return" w:uiPriority="99"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jc w:val="center"/>
      <w:outlineLvl w:val="0"/>
    </w:pPr>
    <w:rPr>
      <w:rFonts w:ascii="宋体" w:hAnsi="宋体" w:cs="宋体"/>
      <w:b/>
      <w:bCs/>
      <w:snapToGrid w:val="0"/>
      <w:color w:val="000000"/>
      <w:kern w:val="44"/>
      <w:sz w:val="32"/>
      <w:szCs w:val="32"/>
      <w:lang w:eastAsia="en-US"/>
    </w:rPr>
  </w:style>
  <w:style w:type="paragraph" w:styleId="2">
    <w:name w:val="heading 2"/>
    <w:basedOn w:val="a"/>
    <w:next w:val="a"/>
    <w:link w:val="2Char"/>
    <w:autoRedefine/>
    <w:semiHidden/>
    <w:unhideWhenUsed/>
    <w:qFormat/>
    <w:pPr>
      <w:keepNext/>
      <w:keepLines/>
      <w:spacing w:beforeAutospacing="1" w:after="120"/>
      <w:jc w:val="center"/>
      <w:outlineLvl w:val="1"/>
    </w:pPr>
    <w:rPr>
      <w:rFonts w:ascii="宋体" w:hAnsi="宋体"/>
      <w:b/>
      <w:bCs/>
      <w:sz w:val="30"/>
      <w:szCs w:val="30"/>
    </w:rPr>
  </w:style>
  <w:style w:type="paragraph" w:styleId="3">
    <w:name w:val="heading 3"/>
    <w:basedOn w:val="a"/>
    <w:next w:val="a"/>
    <w:link w:val="3Char"/>
    <w:autoRedefine/>
    <w:semiHidden/>
    <w:unhideWhenUsed/>
    <w:qFormat/>
    <w:pPr>
      <w:keepNext/>
      <w:keepLines/>
      <w:numPr>
        <w:ilvl w:val="2"/>
        <w:numId w:val="1"/>
      </w:numPr>
      <w:spacing w:line="360" w:lineRule="auto"/>
      <w:jc w:val="center"/>
      <w:outlineLvl w:val="2"/>
    </w:pPr>
    <w:rPr>
      <w:rFonts w:ascii="宋体" w:hAnsi="宋体" w:cs="宋体"/>
      <w:b/>
      <w:bCs/>
      <w:kern w:val="0"/>
      <w:sz w:val="28"/>
      <w:szCs w:val="28"/>
      <w:lang w:eastAsia="en-US"/>
    </w:rPr>
  </w:style>
  <w:style w:type="paragraph" w:styleId="4">
    <w:name w:val="heading 4"/>
    <w:basedOn w:val="a"/>
    <w:next w:val="a"/>
    <w:link w:val="4Char"/>
    <w:autoRedefine/>
    <w:semiHidden/>
    <w:unhideWhenUsed/>
    <w:qFormat/>
    <w:pPr>
      <w:keepNext/>
      <w:keepLines/>
      <w:numPr>
        <w:ilvl w:val="3"/>
        <w:numId w:val="1"/>
      </w:numPr>
      <w:spacing w:before="280" w:after="290" w:line="372" w:lineRule="auto"/>
      <w:outlineLvl w:val="3"/>
    </w:pPr>
    <w:rPr>
      <w:rFonts w:ascii="宋体" w:hAnsi="宋体" w:cs="宋体"/>
      <w:b/>
      <w:bCs/>
      <w:sz w:val="24"/>
    </w:rPr>
  </w:style>
  <w:style w:type="paragraph" w:styleId="5">
    <w:name w:val="heading 5"/>
    <w:basedOn w:val="a"/>
    <w:next w:val="a"/>
    <w:autoRedefine/>
    <w:semiHidden/>
    <w:unhideWhenUsed/>
    <w:qFormat/>
    <w:pPr>
      <w:keepNext/>
      <w:keepLines/>
      <w:spacing w:before="280" w:after="290" w:line="372" w:lineRule="auto"/>
      <w:ind w:left="1008" w:hanging="1008"/>
      <w:outlineLvl w:val="4"/>
    </w:pPr>
    <w:rPr>
      <w:rFonts w:ascii="宋体" w:hAnsi="宋体" w:cs="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Default"/>
    <w:autoRedefine/>
    <w:qFormat/>
    <w:pPr>
      <w:ind w:firstLine="425"/>
    </w:pPr>
    <w:rPr>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styleId="a4">
    <w:name w:val="Body Text"/>
    <w:basedOn w:val="a"/>
    <w:autoRedefine/>
    <w:qFormat/>
    <w:pPr>
      <w:spacing w:after="120"/>
    </w:pPr>
  </w:style>
  <w:style w:type="paragraph" w:styleId="a5">
    <w:name w:val="Body Text Indent"/>
    <w:basedOn w:val="a"/>
    <w:next w:val="a6"/>
    <w:autoRedefine/>
    <w:qFormat/>
    <w:pPr>
      <w:adjustRightInd w:val="0"/>
      <w:spacing w:after="120" w:line="360" w:lineRule="atLeast"/>
      <w:ind w:leftChars="200" w:left="420"/>
      <w:jc w:val="left"/>
      <w:textAlignment w:val="baseline"/>
    </w:pPr>
    <w:rPr>
      <w:kern w:val="0"/>
      <w:sz w:val="24"/>
      <w:szCs w:val="20"/>
    </w:rPr>
  </w:style>
  <w:style w:type="paragraph" w:styleId="a6">
    <w:name w:val="envelope return"/>
    <w:basedOn w:val="a"/>
    <w:autoRedefine/>
    <w:uiPriority w:val="99"/>
    <w:unhideWhenUsed/>
    <w:qFormat/>
    <w:pPr>
      <w:snapToGrid w:val="0"/>
    </w:pPr>
    <w:rPr>
      <w:rFonts w:ascii="Arial" w:hAnsi="Arial" w:hint="eastAsia"/>
    </w:rPr>
  </w:style>
  <w:style w:type="paragraph" w:styleId="a7">
    <w:name w:val="table of figures"/>
    <w:basedOn w:val="a"/>
    <w:next w:val="a"/>
    <w:autoRedefine/>
    <w:qFormat/>
    <w:pPr>
      <w:spacing w:line="360" w:lineRule="auto"/>
      <w:ind w:leftChars="200" w:left="200" w:hangingChars="200" w:hanging="200"/>
    </w:pPr>
    <w:rPr>
      <w:rFonts w:ascii="宋体"/>
      <w:kern w:val="0"/>
      <w:sz w:val="34"/>
      <w:szCs w:val="20"/>
    </w:rPr>
  </w:style>
  <w:style w:type="paragraph" w:styleId="20">
    <w:name w:val="toc 2"/>
    <w:basedOn w:val="a"/>
    <w:next w:val="a"/>
    <w:uiPriority w:val="39"/>
    <w:qFormat/>
    <w:pPr>
      <w:ind w:leftChars="200" w:left="420"/>
    </w:pPr>
  </w:style>
  <w:style w:type="paragraph" w:styleId="9">
    <w:name w:val="toc 9"/>
    <w:basedOn w:val="a"/>
    <w:next w:val="a"/>
    <w:autoRedefine/>
    <w:qFormat/>
    <w:pPr>
      <w:ind w:leftChars="1600" w:left="3360"/>
    </w:pPr>
  </w:style>
  <w:style w:type="paragraph" w:styleId="21">
    <w:name w:val="Body Text 2"/>
    <w:basedOn w:val="a"/>
    <w:next w:val="9"/>
    <w:autoRedefine/>
    <w:uiPriority w:val="99"/>
    <w:unhideWhenUsed/>
    <w:qFormat/>
    <w:pPr>
      <w:spacing w:after="120" w:line="480" w:lineRule="auto"/>
    </w:pPr>
  </w:style>
  <w:style w:type="paragraph" w:styleId="22">
    <w:name w:val="Body Text First Indent 2"/>
    <w:basedOn w:val="a5"/>
    <w:next w:val="a3"/>
    <w:autoRedefine/>
    <w:qFormat/>
    <w:pPr>
      <w:ind w:firstLineChars="200" w:firstLine="420"/>
    </w:pPr>
    <w:rPr>
      <w:sz w:val="32"/>
    </w:rPr>
  </w:style>
  <w:style w:type="character" w:customStyle="1" w:styleId="2Char">
    <w:name w:val="标题 2 Char"/>
    <w:link w:val="2"/>
    <w:autoRedefine/>
    <w:qFormat/>
    <w:rPr>
      <w:rFonts w:ascii="宋体" w:eastAsia="宋体" w:hAnsi="宋体" w:cs="宋体"/>
      <w:b/>
      <w:bCs/>
      <w:sz w:val="30"/>
      <w:szCs w:val="30"/>
    </w:rPr>
  </w:style>
  <w:style w:type="character" w:customStyle="1" w:styleId="3Char">
    <w:name w:val="标题 3 Char"/>
    <w:basedOn w:val="a0"/>
    <w:link w:val="3"/>
    <w:autoRedefine/>
    <w:qFormat/>
    <w:rPr>
      <w:rFonts w:ascii="宋体" w:eastAsia="宋体" w:hAnsi="宋体" w:cs="宋体"/>
      <w:b/>
      <w:kern w:val="0"/>
      <w:sz w:val="28"/>
      <w:szCs w:val="28"/>
      <w:lang w:eastAsia="en-US"/>
    </w:rPr>
  </w:style>
  <w:style w:type="character" w:customStyle="1" w:styleId="4Char">
    <w:name w:val="标题 4 Char"/>
    <w:link w:val="4"/>
    <w:autoRedefine/>
    <w:qFormat/>
    <w:rPr>
      <w:rFonts w:ascii="宋体" w:eastAsia="宋体" w:hAnsi="宋体" w:cs="宋体"/>
      <w:b/>
      <w:bCs/>
      <w:sz w:val="24"/>
      <w:szCs w:val="24"/>
    </w:rPr>
  </w:style>
  <w:style w:type="paragraph" w:customStyle="1" w:styleId="TableParagraph">
    <w:name w:val="Table Paragraph"/>
    <w:basedOn w:val="a"/>
    <w:autoRedefine/>
    <w:uiPriority w:val="1"/>
    <w:qFormat/>
  </w:style>
  <w:style w:type="paragraph" w:styleId="a8">
    <w:name w:val="header"/>
    <w:basedOn w:val="a"/>
    <w:link w:val="Char"/>
    <w:rsid w:val="00ED3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D34ED"/>
    <w:rPr>
      <w:kern w:val="2"/>
      <w:sz w:val="18"/>
      <w:szCs w:val="18"/>
    </w:rPr>
  </w:style>
  <w:style w:type="paragraph" w:styleId="a9">
    <w:name w:val="footer"/>
    <w:basedOn w:val="a"/>
    <w:link w:val="Char0"/>
    <w:rsid w:val="00ED34ED"/>
    <w:pPr>
      <w:tabs>
        <w:tab w:val="center" w:pos="4153"/>
        <w:tab w:val="right" w:pos="8306"/>
      </w:tabs>
      <w:snapToGrid w:val="0"/>
      <w:jc w:val="left"/>
    </w:pPr>
    <w:rPr>
      <w:sz w:val="18"/>
      <w:szCs w:val="18"/>
    </w:rPr>
  </w:style>
  <w:style w:type="character" w:customStyle="1" w:styleId="Char0">
    <w:name w:val="页脚 Char"/>
    <w:basedOn w:val="a0"/>
    <w:link w:val="a9"/>
    <w:rsid w:val="00ED34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184</Words>
  <Characters>1049</Characters>
  <Application>Microsoft Office Word</Application>
  <DocSecurity>0</DocSecurity>
  <Lines>8</Lines>
  <Paragraphs>2</Paragraphs>
  <ScaleCrop>false</ScaleCrop>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小黄鱼</dc:creator>
  <cp:lastModifiedBy>ghdf</cp:lastModifiedBy>
  <cp:revision>2</cp:revision>
  <dcterms:created xsi:type="dcterms:W3CDTF">2024-02-28T08:20:00Z</dcterms:created>
  <dcterms:modified xsi:type="dcterms:W3CDTF">2025-11-18T02:25:00Z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6389CCF806064FF7A73F5BF5B5C8A2D5_13</vt:lpwstr>
  </property>
  <property fmtid="{D5CDD505-2E9C-101B-9397-08002B2CF9AE}" pid="4" name="KSOTemplateDocerSaveRecord">
    <vt:lpwstr>eyJoZGlkIjoiN2NhZTRjNGRhMzY1OTAyNTY3NTRiYjJkZDdmZjc3YWEiLCJ1c2VySWQiOiIxMDg1OTY3MzMzIn0=</vt:lpwstr>
  </property>
</Properties>
</file>