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bookmarkStart w:id="0" w:name="_GoBack"/>
      <w:r>
        <w:rPr>
          <w:rFonts w:hint="eastAsia"/>
        </w:rPr>
        <w:t>联影DR保修参数</w:t>
      </w:r>
    </w:p>
    <w:bookmarkEnd w:id="0"/>
    <w:p>
      <w:pPr>
        <w:rPr>
          <w:rFonts w:hint="eastAsia"/>
          <w:sz w:val="28"/>
          <w:szCs w:val="28"/>
        </w:rPr>
      </w:pPr>
      <w:r>
        <w:rPr>
          <w:rFonts w:hint="eastAsia"/>
        </w:rPr>
        <w:t>（</w:t>
      </w:r>
      <w:r>
        <w:rPr>
          <w:rFonts w:hint="eastAsia"/>
          <w:sz w:val="28"/>
          <w:szCs w:val="28"/>
        </w:rPr>
        <w:t>1）为设备正常工作提供所有设备所需备件（三方生产的或拥有的设备和软件除外）和不限次数人工，并不再收取合同款项以外的任何费用，维修后的设备满足临床科室需求。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（2）要求磋商服务商熟悉此设备的性能，工作原理，使用方法等。保证原厂工程师进行维修，要求原厂备件并提供相关证明。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（3）开机保障：保证列表设备全年开机率达到95%。即正常开机达到346日，停机不超过20日。未达到开机率保证给予双倍赔偿，即停机每超出一天，保修期服务合同期自动延长2天。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（4）服务响应：提供常设售后服务热线电话。维修服务完成后服务商应在配件保修期内免费提供对整机7*24小时的维护服务，机器故障处理电话响应时间不超过1小时；到达现场时间不超过8小时。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（5）设备日常维护及保养：为保证设备处于优良的运行状态，供应商需每年提供2次标准维护保养服务，对设备进行电气安全检测，检测高压线缆有无破损、应急开关状态等，并向采购方提供定期维护报告。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Zjk5NDlhZWE4YzY4MzcyNGY4NTgyYWRhMmU0Y2IifQ=="/>
  </w:docVars>
  <w:rsids>
    <w:rsidRoot w:val="00000000"/>
    <w:rsid w:val="040A2214"/>
    <w:rsid w:val="0A4C5B43"/>
    <w:rsid w:val="448C5662"/>
    <w:rsid w:val="4CBA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2024-10-30T08:11:00Z</dcterms:created>
  <dc:creator>chenj</dc:creator>
  <cp:lastModifiedBy>ygk-110</cp:lastModifiedBy>
  <dcterms:modified xsi:type="dcterms:W3CDTF">2024-11-04T02:14:54Z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28457084ED42412FB500BFA182BE2C35</vt:lpwstr>
  </property>
</Properties>
</file>