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6F" w:rsidRPr="00DB782E" w:rsidRDefault="00B1233A" w:rsidP="00DB782E">
      <w:pPr>
        <w:jc w:val="center"/>
        <w:rPr>
          <w:rFonts w:ascii="仿宋_GB2312" w:eastAsia="仿宋_GB2312" w:hAnsi="宋体"/>
          <w:b/>
          <w:sz w:val="32"/>
          <w:szCs w:val="32"/>
        </w:rPr>
      </w:pPr>
      <w:r w:rsidRPr="00DB782E">
        <w:rPr>
          <w:rFonts w:ascii="仿宋_GB2312" w:eastAsia="仿宋_GB2312" w:hAnsi="宋体" w:hint="eastAsia"/>
          <w:b/>
          <w:sz w:val="32"/>
          <w:szCs w:val="32"/>
        </w:rPr>
        <w:t>智能预问诊和智能导诊系统</w:t>
      </w:r>
      <w:r w:rsidR="00DB782E" w:rsidRPr="00DB782E">
        <w:rPr>
          <w:rFonts w:ascii="仿宋_GB2312" w:eastAsia="仿宋_GB2312" w:hAnsi="宋体" w:hint="eastAsia"/>
          <w:b/>
          <w:sz w:val="32"/>
          <w:szCs w:val="32"/>
        </w:rPr>
        <w:t>招标参数</w:t>
      </w:r>
    </w:p>
    <w:tbl>
      <w:tblPr>
        <w:tblStyle w:val="a9"/>
        <w:tblW w:w="0" w:type="auto"/>
        <w:tblLook w:val="04A0"/>
      </w:tblPr>
      <w:tblGrid>
        <w:gridCol w:w="615"/>
        <w:gridCol w:w="451"/>
        <w:gridCol w:w="1284"/>
        <w:gridCol w:w="1982"/>
        <w:gridCol w:w="4190"/>
      </w:tblGrid>
      <w:tr w:rsidR="00B1233A" w:rsidRPr="00B1233A" w:rsidTr="00B1233A">
        <w:trPr>
          <w:trHeight w:val="563"/>
        </w:trPr>
        <w:tc>
          <w:tcPr>
            <w:tcW w:w="615"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 xml:space="preserve">　</w:t>
            </w:r>
          </w:p>
        </w:tc>
        <w:tc>
          <w:tcPr>
            <w:tcW w:w="1735" w:type="dxa"/>
            <w:gridSpan w:val="2"/>
            <w:noWrap/>
            <w:hideMark/>
          </w:tcPr>
          <w:p w:rsidR="00B1233A" w:rsidRPr="00B1233A" w:rsidRDefault="00B1233A" w:rsidP="00B1233A">
            <w:pPr>
              <w:jc w:val="left"/>
              <w:rPr>
                <w:rFonts w:ascii="仿宋_GB2312" w:eastAsia="仿宋_GB2312" w:hAnsi="宋体"/>
                <w:b/>
                <w:bCs/>
                <w:szCs w:val="21"/>
              </w:rPr>
            </w:pPr>
            <w:r w:rsidRPr="00B1233A">
              <w:rPr>
                <w:rFonts w:ascii="仿宋_GB2312" w:eastAsia="仿宋_GB2312" w:hAnsi="宋体" w:hint="eastAsia"/>
                <w:b/>
                <w:bCs/>
                <w:szCs w:val="21"/>
              </w:rPr>
              <w:t>功能模块</w:t>
            </w:r>
          </w:p>
        </w:tc>
        <w:tc>
          <w:tcPr>
            <w:tcW w:w="1982" w:type="dxa"/>
            <w:hideMark/>
          </w:tcPr>
          <w:p w:rsidR="00B1233A" w:rsidRPr="00B1233A" w:rsidRDefault="00B1233A" w:rsidP="00B1233A">
            <w:pPr>
              <w:jc w:val="left"/>
              <w:rPr>
                <w:rFonts w:ascii="仿宋_GB2312" w:eastAsia="仿宋_GB2312" w:hAnsi="宋体"/>
                <w:b/>
                <w:bCs/>
                <w:szCs w:val="21"/>
              </w:rPr>
            </w:pPr>
            <w:r w:rsidRPr="00B1233A">
              <w:rPr>
                <w:rFonts w:ascii="仿宋_GB2312" w:eastAsia="仿宋_GB2312" w:hAnsi="宋体" w:hint="eastAsia"/>
                <w:b/>
                <w:bCs/>
                <w:szCs w:val="21"/>
              </w:rPr>
              <w:t>子模块</w:t>
            </w:r>
          </w:p>
        </w:tc>
        <w:tc>
          <w:tcPr>
            <w:tcW w:w="4190" w:type="dxa"/>
            <w:noWrap/>
            <w:hideMark/>
          </w:tcPr>
          <w:p w:rsidR="00B1233A" w:rsidRPr="00B1233A" w:rsidRDefault="00B1233A" w:rsidP="00B1233A">
            <w:pPr>
              <w:jc w:val="left"/>
              <w:rPr>
                <w:rFonts w:ascii="仿宋_GB2312" w:eastAsia="仿宋_GB2312" w:hAnsi="宋体"/>
                <w:b/>
                <w:bCs/>
                <w:szCs w:val="21"/>
              </w:rPr>
            </w:pPr>
            <w:r w:rsidRPr="00B1233A">
              <w:rPr>
                <w:rFonts w:ascii="仿宋_GB2312" w:eastAsia="仿宋_GB2312" w:hAnsi="宋体" w:hint="eastAsia"/>
                <w:b/>
                <w:bCs/>
                <w:szCs w:val="21"/>
              </w:rPr>
              <w:t>功能描述</w:t>
            </w:r>
          </w:p>
        </w:tc>
      </w:tr>
      <w:tr w:rsidR="00B1233A" w:rsidRPr="00B1233A" w:rsidTr="00B1233A">
        <w:trPr>
          <w:trHeight w:val="570"/>
        </w:trPr>
        <w:tc>
          <w:tcPr>
            <w:tcW w:w="615"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智能预问诊</w:t>
            </w:r>
          </w:p>
        </w:tc>
        <w:tc>
          <w:tcPr>
            <w:tcW w:w="451"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患者端</w:t>
            </w: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智能交互</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智能预问诊对话策略</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基于医学知识图谱，根据患者的回答，实时推理计算患者病情，结合问诊状态转移图，确定下一步对话状态，结合对话生成技术，动态生成下一个问题。</w:t>
            </w:r>
          </w:p>
        </w:tc>
      </w:tr>
      <w:tr w:rsidR="00B1233A" w:rsidRPr="00B1233A" w:rsidTr="00B1233A">
        <w:trPr>
          <w:trHeight w:val="85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多种交互样式</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智能预问诊对话界面根据实际的问题类型，提供不同的便捷输入方式，包括自由输入文本、数字、单选、多选、人体图点选、滚轮、下拉框等多种方式。提升可视化体验且尽量节约患者时间。</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多媒体医学解释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智能预问诊系统在对话过程中，针对太专业的医学术语，向用户提供文字、图片等解释内容，方便患者更加准确地理解和描述自己的病情。</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智能语义理解</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为满足患者自由表达病情的需求，对用户输入的自然语言，通过归一化模块将用户口语化实体信息归一为医学知识图谱中的标准术语。</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支持上传图片补充病情</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如果患者有相关检查报告，支持图片上传，让医生更全面的分析病情。</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危急提醒</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预问诊过程中发现紧急和严重情况，提醒患者加以重视或者紧急就医，以免耽误病情。</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科室错误提醒</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预问诊过程与智能导诊模型关联，当问诊过程中导诊模型判断患者挂号科室有误时，及时给出提醒，以免耽误患者病情。</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返回修改</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生成报告前对于患者输入信息错误可返回纠正。</w:t>
            </w:r>
          </w:p>
        </w:tc>
      </w:tr>
      <w:tr w:rsidR="00B1233A" w:rsidRPr="00B1233A" w:rsidTr="00B1233A">
        <w:trPr>
          <w:trHeight w:val="142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自动生成报告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在通过对话交互完成信息采集后，智能预问诊系统会自动生成符合医生通用书写习惯标准的预问诊报告。包括主诉、现病史（症状的属性及伴随症状）、既往史（用药史、过敏史）、家族史、个人史；医生确认无误后可以直接写入电子病历系统(需相关产商配合完成)。患者在完成交互流程后也可以看到整个报告，让患者提前对自己的病情有个全面了解。</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预问诊报告特殊字段定制</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支持特殊人群特殊病史定制如（女性）月经婚育史、（儿童）喂养史、（儿童）产伤窒息史、（儿童）预防接种史等，各个模块根据人群、科室和症状进行动态配置。</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预问诊报告确认发送医生</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预问诊报告生成后，需要患者手动确认，完成真实性申明才能发送给医生，保证信息准确，且避免医生被患者测试信息干扰。</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预问诊报告保存为图片</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预问诊报告可保存为图片，方便保存及分享病情信息给他人。</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预问诊记录</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预问诊报告记录</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支持保存患者每次预问诊报告记录，供患者查阅及复诊参考；</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预问诊对话记录</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支持保存患者每次预问诊对话记录，供患者查阅及复诊参考；</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诊前就诊指导</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诊前就诊指导</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预问诊报告发送给医生之后，患者同时将收到基于此次病情的一些简单的护理知识，帮助患者在一定程度上缓解不适。</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患教推荐</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患教推荐</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预问诊报告发送给医生之后，智能推荐基于此次病情的一些患教知识。</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产品界面及跳转配置</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产品界面及跳转配置</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产品对话界面的交互风格（主色调、标题、头像）、提醒文案、报告页面跳转支持自定义配置。</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医生端</w:t>
            </w: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对话界面</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展示对话</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医生端还原患者预问诊信息对话流程，让病历信息有来源依据。</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报告界面</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展示报告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展示患者端生成的病历初稿</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编辑报告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医生可对预问诊生成的报告进行编辑保存</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AI分析界面</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症状发展时间轴</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以时间轴的形式展示患者症状出现的先后顺序，方便医生分析患者病情的发展，为明确诊断做参考。</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诊疗时间轴</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以时间轴的形式展示患者诊断和治疗情况，方便医生分析患者病情的进展和转归，为下一步诊疗做参考。</w:t>
            </w:r>
          </w:p>
        </w:tc>
      </w:tr>
      <w:tr w:rsidR="00B1233A" w:rsidRPr="00B1233A" w:rsidTr="00B1233A">
        <w:trPr>
          <w:trHeight w:val="85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AI病情分析</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结构化展示病情相特征，包括患者已有的症状、追问的症状、否定的症状、症状变化、一般状况、病史、过敏史等信息，并对症状的紧急严重情况进行评估，通过可视化展示，方便医生关注重点信息。</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平台端</w:t>
            </w: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预问诊配置</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主诉配置</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对患者端每个科室主诉候选配置。</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界面及跳转配置</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对话界面的交互风格（主色调、标题、头像）、提醒文案、报告页面跳转支持自定义配置。</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预问诊运营分析</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预问诊使用情况分析</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统计患者端预问诊的打开量、完成量、首轮完成量、完成率、首轮完成率。</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就诊情况分析</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统计患者初诊、复诊分布情况。</w:t>
            </w:r>
          </w:p>
        </w:tc>
      </w:tr>
      <w:tr w:rsidR="00B1233A" w:rsidRPr="00B1233A" w:rsidTr="00B1233A">
        <w:trPr>
          <w:trHeight w:val="285"/>
        </w:trPr>
        <w:tc>
          <w:tcPr>
            <w:tcW w:w="615"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智能导诊</w:t>
            </w:r>
          </w:p>
        </w:tc>
        <w:tc>
          <w:tcPr>
            <w:tcW w:w="451"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患者端</w:t>
            </w:r>
          </w:p>
        </w:tc>
        <w:tc>
          <w:tcPr>
            <w:tcW w:w="1284" w:type="dxa"/>
            <w:vMerge w:val="restart"/>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智能交互模型</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对话流</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患者输入主诉，导诊机器人与患者智能交互，进一步询问相关信息做出科室判断；</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语义解析</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AI智能语义解析，通过自然语言理解技术将用户口语化表达归一为医学知识图谱中的标准术语。让患者表达无障碍</w:t>
            </w:r>
          </w:p>
        </w:tc>
      </w:tr>
      <w:tr w:rsidR="00B1233A" w:rsidRPr="00B1233A" w:rsidTr="00B1233A">
        <w:trPr>
          <w:trHeight w:val="570"/>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医学解释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在对话过程中，针对太专业的医学术语，向用户提供文字解释内容，方便患者更加准确地理解和描述自己的病情。</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动态交互</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根据主诉、年龄、性别、妊娠状态、伴随症状进行动态交互；</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模型判别</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基于深度学习和医学知识，给出建议挂号科室候选。</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多种交互样式</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支持人体图点选症状、单选、多选等多种交互形式</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vMerge/>
            <w:hideMark/>
          </w:tcPr>
          <w:p w:rsidR="00B1233A" w:rsidRPr="00B1233A" w:rsidRDefault="00B1233A" w:rsidP="00B1233A">
            <w:pPr>
              <w:jc w:val="left"/>
              <w:rPr>
                <w:rFonts w:ascii="仿宋_GB2312" w:eastAsia="仿宋_GB2312" w:hAnsi="宋体"/>
                <w:szCs w:val="21"/>
              </w:rPr>
            </w:pP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返回修改</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生成报告前对于患者输入信息错误可返回纠正。</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导诊报告</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科室建议</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展示与用户病情关联的建议挂号科室。</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个性化导诊</w:t>
            </w:r>
          </w:p>
        </w:tc>
        <w:tc>
          <w:tcPr>
            <w:tcW w:w="1982"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个性化导诊</w:t>
            </w:r>
          </w:p>
        </w:tc>
        <w:tc>
          <w:tcPr>
            <w:tcW w:w="4190" w:type="dxa"/>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可基于医院历史数据，基于深度学习技术，挖掘患者分布特征。实现高精度导诊。</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预约挂号</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预约挂号</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支持跳转医院预约挂号系统；</w:t>
            </w:r>
          </w:p>
        </w:tc>
      </w:tr>
      <w:tr w:rsidR="00B1233A" w:rsidRPr="00B1233A" w:rsidTr="00B1233A">
        <w:trPr>
          <w:trHeight w:val="285"/>
        </w:trPr>
        <w:tc>
          <w:tcPr>
            <w:tcW w:w="615" w:type="dxa"/>
            <w:vMerge/>
            <w:hideMark/>
          </w:tcPr>
          <w:p w:rsidR="00B1233A" w:rsidRPr="00B1233A" w:rsidRDefault="00B1233A" w:rsidP="00B1233A">
            <w:pPr>
              <w:jc w:val="left"/>
              <w:rPr>
                <w:rFonts w:ascii="仿宋_GB2312" w:eastAsia="仿宋_GB2312" w:hAnsi="宋体"/>
                <w:szCs w:val="21"/>
              </w:rPr>
            </w:pPr>
          </w:p>
        </w:tc>
        <w:tc>
          <w:tcPr>
            <w:tcW w:w="451" w:type="dxa"/>
            <w:vMerge/>
            <w:hideMark/>
          </w:tcPr>
          <w:p w:rsidR="00B1233A" w:rsidRPr="00B1233A" w:rsidRDefault="00B1233A" w:rsidP="00B1233A">
            <w:pPr>
              <w:jc w:val="left"/>
              <w:rPr>
                <w:rFonts w:ascii="仿宋_GB2312" w:eastAsia="仿宋_GB2312" w:hAnsi="宋体"/>
                <w:szCs w:val="21"/>
              </w:rPr>
            </w:pPr>
          </w:p>
        </w:tc>
        <w:tc>
          <w:tcPr>
            <w:tcW w:w="1284"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对接方式</w:t>
            </w:r>
          </w:p>
        </w:tc>
        <w:tc>
          <w:tcPr>
            <w:tcW w:w="1982"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对接方式</w:t>
            </w:r>
          </w:p>
        </w:tc>
        <w:tc>
          <w:tcPr>
            <w:tcW w:w="4190" w:type="dxa"/>
            <w:noWrap/>
            <w:hideMark/>
          </w:tcPr>
          <w:p w:rsidR="00B1233A" w:rsidRPr="00B1233A" w:rsidRDefault="00B1233A" w:rsidP="00B1233A">
            <w:pPr>
              <w:jc w:val="left"/>
              <w:rPr>
                <w:rFonts w:ascii="仿宋_GB2312" w:eastAsia="仿宋_GB2312" w:hAnsi="宋体"/>
                <w:szCs w:val="21"/>
              </w:rPr>
            </w:pPr>
            <w:r w:rsidRPr="00B1233A">
              <w:rPr>
                <w:rFonts w:ascii="仿宋_GB2312" w:eastAsia="仿宋_GB2312" w:hAnsi="宋体" w:hint="eastAsia"/>
                <w:szCs w:val="21"/>
              </w:rPr>
              <w:t>支持H5、API、SDK对接方式</w:t>
            </w:r>
          </w:p>
        </w:tc>
      </w:tr>
      <w:tr w:rsidR="00DB782E" w:rsidRPr="00B1233A" w:rsidTr="00973AF6">
        <w:trPr>
          <w:trHeight w:val="285"/>
        </w:trPr>
        <w:tc>
          <w:tcPr>
            <w:tcW w:w="615" w:type="dxa"/>
            <w:vMerge w:val="restart"/>
          </w:tcPr>
          <w:p w:rsidR="00DB782E" w:rsidRPr="00B1233A" w:rsidRDefault="00DB782E" w:rsidP="00B1233A">
            <w:pPr>
              <w:jc w:val="left"/>
              <w:rPr>
                <w:rFonts w:ascii="仿宋_GB2312" w:eastAsia="仿宋_GB2312" w:hAnsi="宋体"/>
                <w:szCs w:val="21"/>
              </w:rPr>
            </w:pPr>
            <w:r w:rsidRPr="00DB782E">
              <w:rPr>
                <w:rFonts w:ascii="仿宋_GB2312" w:eastAsia="仿宋_GB2312" w:hAnsi="宋体" w:hint="eastAsia"/>
                <w:szCs w:val="21"/>
              </w:rPr>
              <w:t>实施与服务要求</w:t>
            </w:r>
          </w:p>
        </w:tc>
        <w:tc>
          <w:tcPr>
            <w:tcW w:w="1735" w:type="dxa"/>
            <w:gridSpan w:val="2"/>
          </w:tcPr>
          <w:p w:rsidR="00DB782E" w:rsidRPr="00DB782E" w:rsidRDefault="00DB782E" w:rsidP="008E520B">
            <w:pPr>
              <w:rPr>
                <w:rFonts w:ascii="仿宋_GB2312" w:eastAsia="仿宋_GB2312" w:hAnsi="宋体"/>
                <w:szCs w:val="21"/>
              </w:rPr>
            </w:pPr>
            <w:r w:rsidRPr="00DB782E">
              <w:rPr>
                <w:rFonts w:ascii="仿宋_GB2312" w:eastAsia="仿宋_GB2312" w:hAnsi="宋体" w:hint="eastAsia"/>
                <w:szCs w:val="21"/>
              </w:rPr>
              <w:t>实施工期要求</w:t>
            </w:r>
          </w:p>
        </w:tc>
        <w:tc>
          <w:tcPr>
            <w:tcW w:w="6172" w:type="dxa"/>
            <w:gridSpan w:val="2"/>
            <w:noWrap/>
          </w:tcPr>
          <w:p w:rsidR="00DB782E" w:rsidRPr="00B1233A" w:rsidRDefault="00DB782E" w:rsidP="00B1233A">
            <w:pPr>
              <w:jc w:val="left"/>
              <w:rPr>
                <w:rFonts w:ascii="仿宋_GB2312" w:eastAsia="仿宋_GB2312" w:hAnsi="宋体"/>
                <w:szCs w:val="21"/>
              </w:rPr>
            </w:pPr>
            <w:r w:rsidRPr="00DB782E">
              <w:rPr>
                <w:rFonts w:ascii="仿宋_GB2312" w:eastAsia="仿宋_GB2312" w:hAnsi="宋体" w:hint="eastAsia"/>
                <w:szCs w:val="21"/>
              </w:rPr>
              <w:t>合同签订后，1个月内实施完成。</w:t>
            </w:r>
          </w:p>
        </w:tc>
      </w:tr>
      <w:tr w:rsidR="00DB782E" w:rsidRPr="00B1233A" w:rsidTr="004F0597">
        <w:trPr>
          <w:trHeight w:val="285"/>
        </w:trPr>
        <w:tc>
          <w:tcPr>
            <w:tcW w:w="615" w:type="dxa"/>
            <w:vMerge/>
          </w:tcPr>
          <w:p w:rsidR="00DB782E" w:rsidRPr="00B1233A" w:rsidRDefault="00DB782E" w:rsidP="00B1233A">
            <w:pPr>
              <w:jc w:val="left"/>
              <w:rPr>
                <w:rFonts w:ascii="仿宋_GB2312" w:eastAsia="仿宋_GB2312" w:hAnsi="宋体"/>
                <w:szCs w:val="21"/>
              </w:rPr>
            </w:pPr>
          </w:p>
        </w:tc>
        <w:tc>
          <w:tcPr>
            <w:tcW w:w="1735" w:type="dxa"/>
            <w:gridSpan w:val="2"/>
          </w:tcPr>
          <w:p w:rsidR="00DB782E" w:rsidRPr="00DB782E" w:rsidRDefault="00DB782E" w:rsidP="008E520B">
            <w:pPr>
              <w:rPr>
                <w:rFonts w:ascii="仿宋_GB2312" w:eastAsia="仿宋_GB2312" w:hAnsi="宋体"/>
                <w:szCs w:val="21"/>
              </w:rPr>
            </w:pPr>
            <w:r w:rsidRPr="00DB782E">
              <w:rPr>
                <w:rFonts w:ascii="仿宋_GB2312" w:eastAsia="仿宋_GB2312" w:hAnsi="宋体" w:hint="eastAsia"/>
                <w:szCs w:val="21"/>
              </w:rPr>
              <w:t>驻场要求</w:t>
            </w:r>
          </w:p>
        </w:tc>
        <w:tc>
          <w:tcPr>
            <w:tcW w:w="6172" w:type="dxa"/>
            <w:gridSpan w:val="2"/>
            <w:noWrap/>
          </w:tcPr>
          <w:p w:rsidR="00DB782E" w:rsidRPr="00B1233A" w:rsidRDefault="00DB782E" w:rsidP="00B1233A">
            <w:pPr>
              <w:jc w:val="left"/>
              <w:rPr>
                <w:rFonts w:ascii="仿宋_GB2312" w:eastAsia="仿宋_GB2312" w:hAnsi="宋体"/>
                <w:szCs w:val="21"/>
              </w:rPr>
            </w:pPr>
            <w:r w:rsidRPr="00DB782E">
              <w:rPr>
                <w:rFonts w:ascii="仿宋_GB2312" w:eastAsia="仿宋_GB2312" w:hAnsi="宋体" w:hint="eastAsia"/>
                <w:szCs w:val="21"/>
              </w:rPr>
              <w:t>合同签订后中标人需立即安排项目组成员驻场进行项目实施，驻场人员需至少提供研发工程师、实施工程师同时进行驻场。</w:t>
            </w:r>
          </w:p>
        </w:tc>
      </w:tr>
      <w:tr w:rsidR="00DB782E" w:rsidRPr="00B1233A" w:rsidTr="00415B9C">
        <w:trPr>
          <w:trHeight w:val="285"/>
        </w:trPr>
        <w:tc>
          <w:tcPr>
            <w:tcW w:w="615" w:type="dxa"/>
            <w:vMerge/>
          </w:tcPr>
          <w:p w:rsidR="00DB782E" w:rsidRPr="00B1233A" w:rsidRDefault="00DB782E" w:rsidP="00B1233A">
            <w:pPr>
              <w:jc w:val="left"/>
              <w:rPr>
                <w:rFonts w:ascii="仿宋_GB2312" w:eastAsia="仿宋_GB2312" w:hAnsi="宋体"/>
                <w:szCs w:val="21"/>
              </w:rPr>
            </w:pPr>
          </w:p>
        </w:tc>
        <w:tc>
          <w:tcPr>
            <w:tcW w:w="1735" w:type="dxa"/>
            <w:gridSpan w:val="2"/>
          </w:tcPr>
          <w:p w:rsidR="00DB782E" w:rsidRPr="00DB782E" w:rsidRDefault="00DB782E" w:rsidP="008E520B">
            <w:pPr>
              <w:rPr>
                <w:rFonts w:ascii="仿宋_GB2312" w:eastAsia="仿宋_GB2312" w:hAnsi="宋体"/>
                <w:szCs w:val="21"/>
              </w:rPr>
            </w:pPr>
            <w:r w:rsidRPr="00DB782E">
              <w:rPr>
                <w:rFonts w:ascii="仿宋_GB2312" w:eastAsia="仿宋_GB2312" w:hAnsi="宋体" w:hint="eastAsia"/>
                <w:szCs w:val="21"/>
              </w:rPr>
              <w:t>项目负责人要求</w:t>
            </w:r>
          </w:p>
        </w:tc>
        <w:tc>
          <w:tcPr>
            <w:tcW w:w="6172" w:type="dxa"/>
            <w:gridSpan w:val="2"/>
            <w:noWrap/>
          </w:tcPr>
          <w:p w:rsidR="00DB782E" w:rsidRPr="00B1233A" w:rsidRDefault="00DB782E" w:rsidP="00B1233A">
            <w:pPr>
              <w:jc w:val="left"/>
              <w:rPr>
                <w:rFonts w:ascii="仿宋_GB2312" w:eastAsia="仿宋_GB2312" w:hAnsi="宋体"/>
                <w:szCs w:val="21"/>
              </w:rPr>
            </w:pPr>
            <w:r w:rsidRPr="00DB782E">
              <w:rPr>
                <w:rFonts w:ascii="仿宋_GB2312" w:eastAsia="仿宋_GB2312" w:hAnsi="宋体" w:hint="eastAsia"/>
                <w:szCs w:val="21"/>
              </w:rPr>
              <w:t>投标人提供的项目负责人须具有3年以上工作经验，且担任过医院同类项目的项目经理或项目负责人职务具备丰富经验和较强的沟通协调能力；具有预见和应对项目风险能力。</w:t>
            </w:r>
          </w:p>
        </w:tc>
      </w:tr>
      <w:tr w:rsidR="00DB782E" w:rsidRPr="00B1233A" w:rsidTr="00414205">
        <w:trPr>
          <w:trHeight w:val="285"/>
        </w:trPr>
        <w:tc>
          <w:tcPr>
            <w:tcW w:w="615" w:type="dxa"/>
            <w:vMerge/>
          </w:tcPr>
          <w:p w:rsidR="00DB782E" w:rsidRPr="00B1233A" w:rsidRDefault="00DB782E" w:rsidP="00B1233A">
            <w:pPr>
              <w:jc w:val="left"/>
              <w:rPr>
                <w:rFonts w:ascii="仿宋_GB2312" w:eastAsia="仿宋_GB2312" w:hAnsi="宋体"/>
                <w:szCs w:val="21"/>
              </w:rPr>
            </w:pPr>
          </w:p>
        </w:tc>
        <w:tc>
          <w:tcPr>
            <w:tcW w:w="1735" w:type="dxa"/>
            <w:gridSpan w:val="2"/>
          </w:tcPr>
          <w:p w:rsidR="00DB782E" w:rsidRPr="00DB782E" w:rsidRDefault="00DB782E" w:rsidP="008E520B">
            <w:pPr>
              <w:rPr>
                <w:rFonts w:ascii="仿宋_GB2312" w:eastAsia="仿宋_GB2312" w:hAnsi="宋体"/>
                <w:szCs w:val="21"/>
              </w:rPr>
            </w:pPr>
            <w:r w:rsidRPr="00DB782E">
              <w:rPr>
                <w:rFonts w:ascii="仿宋_GB2312" w:eastAsia="仿宋_GB2312" w:hAnsi="宋体" w:hint="eastAsia"/>
                <w:szCs w:val="21"/>
              </w:rPr>
              <w:t>售后服务</w:t>
            </w:r>
          </w:p>
        </w:tc>
        <w:tc>
          <w:tcPr>
            <w:tcW w:w="6172" w:type="dxa"/>
            <w:gridSpan w:val="2"/>
            <w:noWrap/>
          </w:tcPr>
          <w:p w:rsidR="00DB782E" w:rsidRPr="00B1233A" w:rsidRDefault="00DB782E" w:rsidP="00B1233A">
            <w:pPr>
              <w:jc w:val="left"/>
              <w:rPr>
                <w:rFonts w:ascii="仿宋_GB2312" w:eastAsia="仿宋_GB2312" w:hAnsi="宋体"/>
                <w:szCs w:val="21"/>
              </w:rPr>
            </w:pPr>
            <w:r w:rsidRPr="00DB782E">
              <w:rPr>
                <w:rFonts w:ascii="仿宋_GB2312" w:eastAsia="仿宋_GB2312" w:hAnsi="宋体" w:hint="eastAsia"/>
                <w:szCs w:val="21"/>
              </w:rPr>
              <w:t>投标人有良好的售后服务能力，并提供从最终验收后开始一年免费服务及软件升级服务，需提供全年7天24小时服务（电话、远程或现场），并在接到招标人通知后30分钟内响应，2小时内到达现场。项目验收合格后，每年提供不低于4次的例行维护及巡检。例行维护内容包括：软件的功能增强性维护等应用软件系统扩充升级（其中包括系统维护、跟踪检测），保证投标方所开发的软件正常运行；硬件的现场巡检、调整优化，并对设备进行保养和正常维护并提交维护报告等。</w:t>
            </w:r>
          </w:p>
        </w:tc>
      </w:tr>
    </w:tbl>
    <w:p w:rsidR="0054226F" w:rsidRPr="00E12CF1" w:rsidRDefault="007F6E04" w:rsidP="0054226F">
      <w:pPr>
        <w:jc w:val="left"/>
        <w:rPr>
          <w:rFonts w:ascii="仿宋_GB2312" w:eastAsia="仿宋_GB2312" w:hAnsi="宋体"/>
          <w:b/>
          <w:sz w:val="28"/>
          <w:szCs w:val="28"/>
        </w:rPr>
      </w:pPr>
      <w:r w:rsidRPr="00E12CF1">
        <w:rPr>
          <w:rFonts w:ascii="仿宋_GB2312" w:eastAsia="仿宋_GB2312" w:hAnsi="宋体" w:hint="eastAsia"/>
          <w:b/>
          <w:sz w:val="28"/>
          <w:szCs w:val="28"/>
        </w:rPr>
        <w:t>注：</w:t>
      </w:r>
      <w:r w:rsidR="00746F7F" w:rsidRPr="00E12CF1">
        <w:rPr>
          <w:rFonts w:ascii="仿宋_GB2312" w:eastAsia="仿宋_GB2312" w:hAnsi="宋体" w:hint="eastAsia"/>
          <w:b/>
          <w:sz w:val="28"/>
          <w:szCs w:val="28"/>
        </w:rPr>
        <w:t>本项目</w:t>
      </w:r>
      <w:r w:rsidRPr="00E12CF1">
        <w:rPr>
          <w:rFonts w:ascii="仿宋_GB2312" w:eastAsia="仿宋_GB2312" w:hAnsi="宋体" w:hint="eastAsia"/>
          <w:b/>
          <w:sz w:val="28"/>
          <w:szCs w:val="28"/>
        </w:rPr>
        <w:t>不接受代理商投标。</w:t>
      </w: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bookmarkStart w:id="0" w:name="_GoBack"/>
      <w:bookmarkEnd w:id="0"/>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Default="00A97BE1" w:rsidP="0054226F">
      <w:pPr>
        <w:jc w:val="left"/>
        <w:rPr>
          <w:rFonts w:ascii="仿宋_GB2312" w:eastAsia="仿宋_GB2312" w:hAnsi="宋体"/>
          <w:szCs w:val="21"/>
        </w:rPr>
      </w:pPr>
    </w:p>
    <w:p w:rsidR="00A97BE1" w:rsidRPr="00DB782E" w:rsidRDefault="00A97BE1" w:rsidP="0054226F">
      <w:pPr>
        <w:jc w:val="left"/>
        <w:rPr>
          <w:rFonts w:ascii="仿宋_GB2312" w:eastAsia="仿宋_GB2312" w:hAnsi="宋体"/>
          <w:szCs w:val="21"/>
        </w:rPr>
      </w:pPr>
    </w:p>
    <w:sectPr w:rsidR="00A97BE1" w:rsidRPr="00DB782E" w:rsidSect="001D0A42">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CAC" w:rsidRDefault="00954CAC">
      <w:r>
        <w:separator/>
      </w:r>
    </w:p>
  </w:endnote>
  <w:endnote w:type="continuationSeparator" w:id="1">
    <w:p w:rsidR="00954CAC" w:rsidRDefault="00954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CAC" w:rsidRDefault="00954CAC">
      <w:r>
        <w:separator/>
      </w:r>
    </w:p>
  </w:footnote>
  <w:footnote w:type="continuationSeparator" w:id="1">
    <w:p w:rsidR="00954CAC" w:rsidRDefault="00954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7D4" w:rsidRDefault="00B03EFF">
    <w:pPr>
      <w:pStyle w:val="a6"/>
      <w:jc w:val="both"/>
    </w:pPr>
    <w:r>
      <w:rPr>
        <w:noProof/>
      </w:rPr>
      <w:drawing>
        <wp:inline distT="0" distB="0" distL="0" distR="0">
          <wp:extent cx="1709420" cy="357505"/>
          <wp:effectExtent l="19050" t="0" r="5080" b="0"/>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noChangeArrowheads="1"/>
                  </pic:cNvPicPr>
                </pic:nvPicPr>
                <pic:blipFill>
                  <a:blip r:embed="rId1"/>
                  <a:srcRect/>
                  <a:stretch>
                    <a:fillRect/>
                  </a:stretch>
                </pic:blipFill>
                <pic:spPr>
                  <a:xfrm>
                    <a:off x="0" y="0"/>
                    <a:ext cx="1709420" cy="357505"/>
                  </a:xfrm>
                  <a:prstGeom prst="rect">
                    <a:avLst/>
                  </a:prstGeom>
                  <a:noFill/>
                  <a:ln w="9525" cmpd="sng">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25C"/>
    <w:rsid w:val="BBBBEDBF"/>
    <w:rsid w:val="EFD79143"/>
    <w:rsid w:val="00024D24"/>
    <w:rsid w:val="00035803"/>
    <w:rsid w:val="00042B5E"/>
    <w:rsid w:val="00054AF0"/>
    <w:rsid w:val="00061A1E"/>
    <w:rsid w:val="00064B1F"/>
    <w:rsid w:val="00080052"/>
    <w:rsid w:val="000854C9"/>
    <w:rsid w:val="00090647"/>
    <w:rsid w:val="000A54B0"/>
    <w:rsid w:val="000B564E"/>
    <w:rsid w:val="000D25D7"/>
    <w:rsid w:val="000D5D3B"/>
    <w:rsid w:val="00131A7C"/>
    <w:rsid w:val="00135E11"/>
    <w:rsid w:val="00143AE4"/>
    <w:rsid w:val="001564B6"/>
    <w:rsid w:val="0016502B"/>
    <w:rsid w:val="001805EF"/>
    <w:rsid w:val="0018295B"/>
    <w:rsid w:val="001D0A42"/>
    <w:rsid w:val="001E37FC"/>
    <w:rsid w:val="001E39D0"/>
    <w:rsid w:val="00203AE0"/>
    <w:rsid w:val="00204529"/>
    <w:rsid w:val="00205C32"/>
    <w:rsid w:val="00206BB4"/>
    <w:rsid w:val="00221925"/>
    <w:rsid w:val="00230344"/>
    <w:rsid w:val="00242F64"/>
    <w:rsid w:val="00247CCE"/>
    <w:rsid w:val="002546E1"/>
    <w:rsid w:val="002826AC"/>
    <w:rsid w:val="002D18D8"/>
    <w:rsid w:val="002D3DC4"/>
    <w:rsid w:val="00327EF2"/>
    <w:rsid w:val="00334073"/>
    <w:rsid w:val="00352403"/>
    <w:rsid w:val="00357828"/>
    <w:rsid w:val="003710E7"/>
    <w:rsid w:val="0038095F"/>
    <w:rsid w:val="00383D2E"/>
    <w:rsid w:val="0038637D"/>
    <w:rsid w:val="003E054D"/>
    <w:rsid w:val="003E160C"/>
    <w:rsid w:val="00405F81"/>
    <w:rsid w:val="004164EA"/>
    <w:rsid w:val="00426B09"/>
    <w:rsid w:val="00434886"/>
    <w:rsid w:val="00465D51"/>
    <w:rsid w:val="0048187A"/>
    <w:rsid w:val="004A2493"/>
    <w:rsid w:val="004C264C"/>
    <w:rsid w:val="004D2A65"/>
    <w:rsid w:val="00506B8F"/>
    <w:rsid w:val="005278B6"/>
    <w:rsid w:val="0054226F"/>
    <w:rsid w:val="0058289F"/>
    <w:rsid w:val="00583FAE"/>
    <w:rsid w:val="005A6C57"/>
    <w:rsid w:val="005C5CF8"/>
    <w:rsid w:val="005C6178"/>
    <w:rsid w:val="00603EA6"/>
    <w:rsid w:val="00604A79"/>
    <w:rsid w:val="00616DB6"/>
    <w:rsid w:val="0063796F"/>
    <w:rsid w:val="006453CC"/>
    <w:rsid w:val="0065741D"/>
    <w:rsid w:val="006867D0"/>
    <w:rsid w:val="00693056"/>
    <w:rsid w:val="006B6E15"/>
    <w:rsid w:val="006D0519"/>
    <w:rsid w:val="006D53D8"/>
    <w:rsid w:val="006F7DBB"/>
    <w:rsid w:val="007243E8"/>
    <w:rsid w:val="0072687D"/>
    <w:rsid w:val="00746F7F"/>
    <w:rsid w:val="00754B82"/>
    <w:rsid w:val="00763EBF"/>
    <w:rsid w:val="00766DC5"/>
    <w:rsid w:val="00777AF8"/>
    <w:rsid w:val="007815D8"/>
    <w:rsid w:val="00783EA7"/>
    <w:rsid w:val="0078699F"/>
    <w:rsid w:val="007D066D"/>
    <w:rsid w:val="007E15D4"/>
    <w:rsid w:val="007F6E04"/>
    <w:rsid w:val="0082649C"/>
    <w:rsid w:val="00827FE6"/>
    <w:rsid w:val="00834E3D"/>
    <w:rsid w:val="00842686"/>
    <w:rsid w:val="00842E68"/>
    <w:rsid w:val="0084519A"/>
    <w:rsid w:val="00853FE9"/>
    <w:rsid w:val="00861DD8"/>
    <w:rsid w:val="00864364"/>
    <w:rsid w:val="008A65B0"/>
    <w:rsid w:val="008C289D"/>
    <w:rsid w:val="008D0163"/>
    <w:rsid w:val="008D19C2"/>
    <w:rsid w:val="008E09B9"/>
    <w:rsid w:val="008E3F39"/>
    <w:rsid w:val="008F3726"/>
    <w:rsid w:val="00907AFF"/>
    <w:rsid w:val="00927CFA"/>
    <w:rsid w:val="00954CAC"/>
    <w:rsid w:val="00961FA6"/>
    <w:rsid w:val="009B360E"/>
    <w:rsid w:val="009E372B"/>
    <w:rsid w:val="009F78AF"/>
    <w:rsid w:val="00A10AA3"/>
    <w:rsid w:val="00A11519"/>
    <w:rsid w:val="00A11EC0"/>
    <w:rsid w:val="00A21208"/>
    <w:rsid w:val="00A23F1B"/>
    <w:rsid w:val="00A24A43"/>
    <w:rsid w:val="00A33A4F"/>
    <w:rsid w:val="00A418AF"/>
    <w:rsid w:val="00A512AB"/>
    <w:rsid w:val="00A60CA2"/>
    <w:rsid w:val="00A61CF6"/>
    <w:rsid w:val="00A73057"/>
    <w:rsid w:val="00A86554"/>
    <w:rsid w:val="00A97BE1"/>
    <w:rsid w:val="00AA3654"/>
    <w:rsid w:val="00AD17D4"/>
    <w:rsid w:val="00AF1BEC"/>
    <w:rsid w:val="00B03EFF"/>
    <w:rsid w:val="00B1233A"/>
    <w:rsid w:val="00B30BF4"/>
    <w:rsid w:val="00B34B8E"/>
    <w:rsid w:val="00BA402B"/>
    <w:rsid w:val="00BA480E"/>
    <w:rsid w:val="00BA5495"/>
    <w:rsid w:val="00BE7E1B"/>
    <w:rsid w:val="00BF1DAD"/>
    <w:rsid w:val="00C106A7"/>
    <w:rsid w:val="00C1332C"/>
    <w:rsid w:val="00C51BF1"/>
    <w:rsid w:val="00C72050"/>
    <w:rsid w:val="00C877B8"/>
    <w:rsid w:val="00C95BF2"/>
    <w:rsid w:val="00CA46AC"/>
    <w:rsid w:val="00CB5A98"/>
    <w:rsid w:val="00CC6C37"/>
    <w:rsid w:val="00CD7007"/>
    <w:rsid w:val="00CE2B42"/>
    <w:rsid w:val="00CE2F41"/>
    <w:rsid w:val="00CE648C"/>
    <w:rsid w:val="00D12A56"/>
    <w:rsid w:val="00D34079"/>
    <w:rsid w:val="00D633DD"/>
    <w:rsid w:val="00DB782E"/>
    <w:rsid w:val="00DF25A1"/>
    <w:rsid w:val="00E12CF1"/>
    <w:rsid w:val="00E80D86"/>
    <w:rsid w:val="00E82D35"/>
    <w:rsid w:val="00E90E62"/>
    <w:rsid w:val="00EA271F"/>
    <w:rsid w:val="00EA77DE"/>
    <w:rsid w:val="00ED1D81"/>
    <w:rsid w:val="00ED6A60"/>
    <w:rsid w:val="00ED725C"/>
    <w:rsid w:val="00ED770A"/>
    <w:rsid w:val="00EF69EE"/>
    <w:rsid w:val="00F021FA"/>
    <w:rsid w:val="00F128E0"/>
    <w:rsid w:val="00F63A79"/>
    <w:rsid w:val="00F91797"/>
    <w:rsid w:val="00FA5D54"/>
    <w:rsid w:val="00FB4B8E"/>
    <w:rsid w:val="00FC41BC"/>
    <w:rsid w:val="00FF2CB4"/>
    <w:rsid w:val="00FF3B2F"/>
    <w:rsid w:val="350E1519"/>
    <w:rsid w:val="37FBD635"/>
    <w:rsid w:val="3FE4A88A"/>
    <w:rsid w:val="4DBB8CA6"/>
    <w:rsid w:val="7B9F1C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0A4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1D0A42"/>
    <w:pPr>
      <w:ind w:leftChars="2500" w:left="100"/>
    </w:pPr>
  </w:style>
  <w:style w:type="paragraph" w:styleId="a4">
    <w:name w:val="Balloon Text"/>
    <w:basedOn w:val="a"/>
    <w:link w:val="Char0"/>
    <w:qFormat/>
    <w:rsid w:val="001D0A42"/>
    <w:rPr>
      <w:sz w:val="18"/>
      <w:szCs w:val="18"/>
    </w:rPr>
  </w:style>
  <w:style w:type="paragraph" w:styleId="a5">
    <w:name w:val="footer"/>
    <w:basedOn w:val="a"/>
    <w:qFormat/>
    <w:rsid w:val="001D0A42"/>
    <w:pPr>
      <w:tabs>
        <w:tab w:val="center" w:pos="4153"/>
        <w:tab w:val="right" w:pos="8306"/>
      </w:tabs>
      <w:snapToGrid w:val="0"/>
      <w:jc w:val="left"/>
    </w:pPr>
    <w:rPr>
      <w:sz w:val="18"/>
      <w:szCs w:val="18"/>
    </w:rPr>
  </w:style>
  <w:style w:type="paragraph" w:styleId="a6">
    <w:name w:val="header"/>
    <w:basedOn w:val="a"/>
    <w:qFormat/>
    <w:rsid w:val="001D0A42"/>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sid w:val="001D0A42"/>
    <w:rPr>
      <w:color w:val="0000FF"/>
      <w:u w:val="single"/>
    </w:rPr>
  </w:style>
  <w:style w:type="character" w:customStyle="1" w:styleId="Char0">
    <w:name w:val="批注框文本 Char"/>
    <w:basedOn w:val="a0"/>
    <w:link w:val="a4"/>
    <w:qFormat/>
    <w:rsid w:val="001D0A42"/>
    <w:rPr>
      <w:kern w:val="2"/>
      <w:sz w:val="18"/>
      <w:szCs w:val="18"/>
    </w:rPr>
  </w:style>
  <w:style w:type="character" w:customStyle="1" w:styleId="Char">
    <w:name w:val="日期 Char"/>
    <w:basedOn w:val="a0"/>
    <w:link w:val="a3"/>
    <w:qFormat/>
    <w:rsid w:val="001D0A42"/>
    <w:rPr>
      <w:kern w:val="2"/>
      <w:sz w:val="21"/>
      <w:szCs w:val="24"/>
    </w:rPr>
  </w:style>
  <w:style w:type="character" w:styleId="a8">
    <w:name w:val="FollowedHyperlink"/>
    <w:basedOn w:val="a0"/>
    <w:uiPriority w:val="99"/>
    <w:unhideWhenUsed/>
    <w:rsid w:val="0054226F"/>
    <w:rPr>
      <w:color w:val="954F72"/>
      <w:u w:val="single"/>
    </w:rPr>
  </w:style>
  <w:style w:type="paragraph" w:customStyle="1" w:styleId="font5">
    <w:name w:val="font5"/>
    <w:basedOn w:val="a"/>
    <w:rsid w:val="0054226F"/>
    <w:pPr>
      <w:widowControl/>
      <w:spacing w:before="100" w:beforeAutospacing="1" w:after="100" w:afterAutospacing="1"/>
      <w:jc w:val="left"/>
    </w:pPr>
    <w:rPr>
      <w:rFonts w:ascii="等线" w:eastAsia="等线" w:hAnsi="宋体" w:cs="宋体"/>
      <w:kern w:val="0"/>
      <w:sz w:val="18"/>
      <w:szCs w:val="18"/>
    </w:rPr>
  </w:style>
  <w:style w:type="paragraph" w:customStyle="1" w:styleId="xl66">
    <w:name w:val="xl66"/>
    <w:basedOn w:val="a"/>
    <w:rsid w:val="0054226F"/>
    <w:pPr>
      <w:widowControl/>
      <w:spacing w:before="100" w:beforeAutospacing="1" w:after="100" w:afterAutospacing="1"/>
      <w:jc w:val="left"/>
    </w:pPr>
    <w:rPr>
      <w:rFonts w:ascii="宋体" w:hAnsi="宋体" w:cs="宋体"/>
      <w:kern w:val="0"/>
      <w:sz w:val="24"/>
    </w:rPr>
  </w:style>
  <w:style w:type="paragraph" w:customStyle="1" w:styleId="xl67">
    <w:name w:val="xl67"/>
    <w:basedOn w:val="a"/>
    <w:rsid w:val="0054226F"/>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54226F"/>
    <w:pPr>
      <w:widowControl/>
      <w:spacing w:before="100" w:beforeAutospacing="1" w:after="100" w:afterAutospacing="1"/>
      <w:jc w:val="left"/>
    </w:pPr>
    <w:rPr>
      <w:rFonts w:ascii="宋体" w:hAnsi="宋体" w:cs="宋体"/>
      <w:kern w:val="0"/>
      <w:sz w:val="24"/>
    </w:rPr>
  </w:style>
  <w:style w:type="paragraph" w:customStyle="1" w:styleId="xl69">
    <w:name w:val="xl69"/>
    <w:basedOn w:val="a"/>
    <w:rsid w:val="0054226F"/>
    <w:pPr>
      <w:widowControl/>
      <w:spacing w:before="100" w:beforeAutospacing="1" w:after="100" w:afterAutospacing="1"/>
      <w:jc w:val="left"/>
    </w:pPr>
    <w:rPr>
      <w:rFonts w:ascii="宋体" w:hAnsi="宋体" w:cs="宋体"/>
      <w:kern w:val="0"/>
      <w:sz w:val="16"/>
      <w:szCs w:val="16"/>
    </w:rPr>
  </w:style>
  <w:style w:type="paragraph" w:customStyle="1" w:styleId="xl70">
    <w:name w:val="xl70"/>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1">
    <w:name w:val="xl71"/>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72">
    <w:name w:val="xl72"/>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3">
    <w:name w:val="xl73"/>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4">
    <w:name w:val="xl74"/>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5">
    <w:name w:val="xl75"/>
    <w:basedOn w:val="a"/>
    <w:rsid w:val="0054226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6">
    <w:name w:val="xl7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7">
    <w:name w:val="xl77"/>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8">
    <w:name w:val="xl78"/>
    <w:basedOn w:val="a"/>
    <w:rsid w:val="0054226F"/>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rsid w:val="0054226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54226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54226F"/>
    <w:pPr>
      <w:widowControl/>
      <w:pBdr>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2">
    <w:name w:val="xl82"/>
    <w:basedOn w:val="a"/>
    <w:rsid w:val="0054226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4">
    <w:name w:val="xl84"/>
    <w:basedOn w:val="a"/>
    <w:rsid w:val="0054226F"/>
    <w:pPr>
      <w:widowControl/>
      <w:spacing w:before="100" w:beforeAutospacing="1" w:after="100" w:afterAutospacing="1"/>
      <w:jc w:val="center"/>
    </w:pPr>
    <w:rPr>
      <w:rFonts w:ascii="宋体" w:hAnsi="宋体" w:cs="宋体"/>
      <w:kern w:val="0"/>
      <w:sz w:val="16"/>
      <w:szCs w:val="16"/>
    </w:rPr>
  </w:style>
  <w:style w:type="paragraph" w:customStyle="1" w:styleId="xl85">
    <w:name w:val="xl85"/>
    <w:basedOn w:val="a"/>
    <w:rsid w:val="0054226F"/>
    <w:pPr>
      <w:widowControl/>
      <w:spacing w:before="100" w:beforeAutospacing="1" w:after="100" w:afterAutospacing="1"/>
      <w:jc w:val="left"/>
    </w:pPr>
    <w:rPr>
      <w:rFonts w:ascii="宋体" w:hAnsi="宋体" w:cs="宋体"/>
      <w:kern w:val="0"/>
      <w:sz w:val="16"/>
      <w:szCs w:val="16"/>
    </w:rPr>
  </w:style>
  <w:style w:type="paragraph" w:customStyle="1" w:styleId="xl86">
    <w:name w:val="xl8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7">
    <w:name w:val="xl87"/>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8">
    <w:name w:val="xl88"/>
    <w:basedOn w:val="a"/>
    <w:rsid w:val="0054226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a"/>
    <w:rsid w:val="0054226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0">
    <w:name w:val="xl90"/>
    <w:basedOn w:val="a"/>
    <w:rsid w:val="0054226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1">
    <w:name w:val="xl91"/>
    <w:basedOn w:val="a"/>
    <w:rsid w:val="0054226F"/>
    <w:pPr>
      <w:widowControl/>
      <w:pBdr>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2">
    <w:name w:val="xl92"/>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3">
    <w:name w:val="xl93"/>
    <w:basedOn w:val="a"/>
    <w:rsid w:val="0054226F"/>
    <w:pPr>
      <w:widowControl/>
      <w:pBdr>
        <w:top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rsid w:val="0054226F"/>
    <w:pPr>
      <w:widowControl/>
      <w:pBdr>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rsid w:val="0054226F"/>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7">
    <w:name w:val="xl97"/>
    <w:basedOn w:val="a"/>
    <w:rsid w:val="0054226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8">
    <w:name w:val="xl98"/>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9">
    <w:name w:val="xl99"/>
    <w:basedOn w:val="a"/>
    <w:rsid w:val="0054226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0">
    <w:name w:val="xl100"/>
    <w:basedOn w:val="a"/>
    <w:rsid w:val="0054226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1">
    <w:name w:val="xl101"/>
    <w:basedOn w:val="a"/>
    <w:rsid w:val="0054226F"/>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2">
    <w:name w:val="xl102"/>
    <w:basedOn w:val="a"/>
    <w:rsid w:val="0054226F"/>
    <w:pPr>
      <w:widowControl/>
      <w:spacing w:before="100" w:beforeAutospacing="1" w:after="100" w:afterAutospacing="1"/>
      <w:jc w:val="center"/>
    </w:pPr>
    <w:rPr>
      <w:rFonts w:ascii="宋体" w:hAnsi="宋体" w:cs="宋体"/>
      <w:kern w:val="0"/>
      <w:sz w:val="16"/>
      <w:szCs w:val="16"/>
    </w:rPr>
  </w:style>
  <w:style w:type="paragraph" w:customStyle="1" w:styleId="xl103">
    <w:name w:val="xl103"/>
    <w:basedOn w:val="a"/>
    <w:rsid w:val="0054226F"/>
    <w:pPr>
      <w:widowControl/>
      <w:pBdr>
        <w:top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4">
    <w:name w:val="xl104"/>
    <w:basedOn w:val="a"/>
    <w:rsid w:val="0054226F"/>
    <w:pPr>
      <w:widowControl/>
      <w:pBdr>
        <w:top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5">
    <w:name w:val="xl105"/>
    <w:basedOn w:val="a"/>
    <w:rsid w:val="0054226F"/>
    <w:pPr>
      <w:widowControl/>
      <w:pBdr>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6">
    <w:name w:val="xl106"/>
    <w:basedOn w:val="a"/>
    <w:rsid w:val="0054226F"/>
    <w:pPr>
      <w:widowControl/>
      <w:pBdr>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styleId="a9">
    <w:name w:val="Table Grid"/>
    <w:basedOn w:val="a1"/>
    <w:rsid w:val="005422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Hyperlink"/>
    <w:uiPriority w:val="99"/>
    <w:qFormat/>
    <w:rPr>
      <w:color w:val="0000FF"/>
      <w:u w:val="single"/>
    </w:rPr>
  </w:style>
  <w:style w:type="character" w:customStyle="1" w:styleId="Char0">
    <w:name w:val="批注框文本 Char"/>
    <w:basedOn w:val="a0"/>
    <w:link w:val="a4"/>
    <w:qFormat/>
    <w:rPr>
      <w:kern w:val="2"/>
      <w:sz w:val="18"/>
      <w:szCs w:val="18"/>
    </w:rPr>
  </w:style>
  <w:style w:type="character" w:customStyle="1" w:styleId="Char">
    <w:name w:val="日期 Char"/>
    <w:basedOn w:val="a0"/>
    <w:link w:val="a3"/>
    <w:qFormat/>
    <w:rPr>
      <w:kern w:val="2"/>
      <w:sz w:val="21"/>
      <w:szCs w:val="24"/>
    </w:rPr>
  </w:style>
  <w:style w:type="character" w:styleId="a8">
    <w:name w:val="FollowedHyperlink"/>
    <w:basedOn w:val="a0"/>
    <w:uiPriority w:val="99"/>
    <w:unhideWhenUsed/>
    <w:rsid w:val="0054226F"/>
    <w:rPr>
      <w:color w:val="954F72"/>
      <w:u w:val="single"/>
    </w:rPr>
  </w:style>
  <w:style w:type="paragraph" w:customStyle="1" w:styleId="font5">
    <w:name w:val="font5"/>
    <w:basedOn w:val="a"/>
    <w:rsid w:val="0054226F"/>
    <w:pPr>
      <w:widowControl/>
      <w:spacing w:before="100" w:beforeAutospacing="1" w:after="100" w:afterAutospacing="1"/>
      <w:jc w:val="left"/>
    </w:pPr>
    <w:rPr>
      <w:rFonts w:ascii="等线" w:eastAsia="等线" w:hAnsi="宋体" w:cs="宋体"/>
      <w:kern w:val="0"/>
      <w:sz w:val="18"/>
      <w:szCs w:val="18"/>
    </w:rPr>
  </w:style>
  <w:style w:type="paragraph" w:customStyle="1" w:styleId="xl66">
    <w:name w:val="xl66"/>
    <w:basedOn w:val="a"/>
    <w:rsid w:val="0054226F"/>
    <w:pPr>
      <w:widowControl/>
      <w:spacing w:before="100" w:beforeAutospacing="1" w:after="100" w:afterAutospacing="1"/>
      <w:jc w:val="left"/>
    </w:pPr>
    <w:rPr>
      <w:rFonts w:ascii="宋体" w:hAnsi="宋体" w:cs="宋体"/>
      <w:kern w:val="0"/>
      <w:sz w:val="24"/>
    </w:rPr>
  </w:style>
  <w:style w:type="paragraph" w:customStyle="1" w:styleId="xl67">
    <w:name w:val="xl67"/>
    <w:basedOn w:val="a"/>
    <w:rsid w:val="0054226F"/>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54226F"/>
    <w:pPr>
      <w:widowControl/>
      <w:spacing w:before="100" w:beforeAutospacing="1" w:after="100" w:afterAutospacing="1"/>
      <w:jc w:val="left"/>
    </w:pPr>
    <w:rPr>
      <w:rFonts w:ascii="宋体" w:hAnsi="宋体" w:cs="宋体"/>
      <w:kern w:val="0"/>
      <w:sz w:val="24"/>
    </w:rPr>
  </w:style>
  <w:style w:type="paragraph" w:customStyle="1" w:styleId="xl69">
    <w:name w:val="xl69"/>
    <w:basedOn w:val="a"/>
    <w:rsid w:val="0054226F"/>
    <w:pPr>
      <w:widowControl/>
      <w:spacing w:before="100" w:beforeAutospacing="1" w:after="100" w:afterAutospacing="1"/>
      <w:jc w:val="left"/>
    </w:pPr>
    <w:rPr>
      <w:rFonts w:ascii="宋体" w:hAnsi="宋体" w:cs="宋体"/>
      <w:kern w:val="0"/>
      <w:sz w:val="16"/>
      <w:szCs w:val="16"/>
    </w:rPr>
  </w:style>
  <w:style w:type="paragraph" w:customStyle="1" w:styleId="xl70">
    <w:name w:val="xl70"/>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1">
    <w:name w:val="xl71"/>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xl72">
    <w:name w:val="xl72"/>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3">
    <w:name w:val="xl73"/>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4">
    <w:name w:val="xl74"/>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5">
    <w:name w:val="xl75"/>
    <w:basedOn w:val="a"/>
    <w:rsid w:val="0054226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6">
    <w:name w:val="xl7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7">
    <w:name w:val="xl77"/>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8">
    <w:name w:val="xl78"/>
    <w:basedOn w:val="a"/>
    <w:rsid w:val="0054226F"/>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rsid w:val="0054226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54226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54226F"/>
    <w:pPr>
      <w:widowControl/>
      <w:pBdr>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2">
    <w:name w:val="xl82"/>
    <w:basedOn w:val="a"/>
    <w:rsid w:val="0054226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4">
    <w:name w:val="xl84"/>
    <w:basedOn w:val="a"/>
    <w:rsid w:val="0054226F"/>
    <w:pPr>
      <w:widowControl/>
      <w:spacing w:before="100" w:beforeAutospacing="1" w:after="100" w:afterAutospacing="1"/>
      <w:jc w:val="center"/>
    </w:pPr>
    <w:rPr>
      <w:rFonts w:ascii="宋体" w:hAnsi="宋体" w:cs="宋体"/>
      <w:kern w:val="0"/>
      <w:sz w:val="16"/>
      <w:szCs w:val="16"/>
    </w:rPr>
  </w:style>
  <w:style w:type="paragraph" w:customStyle="1" w:styleId="xl85">
    <w:name w:val="xl85"/>
    <w:basedOn w:val="a"/>
    <w:rsid w:val="0054226F"/>
    <w:pPr>
      <w:widowControl/>
      <w:spacing w:before="100" w:beforeAutospacing="1" w:after="100" w:afterAutospacing="1"/>
      <w:jc w:val="left"/>
    </w:pPr>
    <w:rPr>
      <w:rFonts w:ascii="宋体" w:hAnsi="宋体" w:cs="宋体"/>
      <w:kern w:val="0"/>
      <w:sz w:val="16"/>
      <w:szCs w:val="16"/>
    </w:rPr>
  </w:style>
  <w:style w:type="paragraph" w:customStyle="1" w:styleId="xl86">
    <w:name w:val="xl8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7">
    <w:name w:val="xl87"/>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8">
    <w:name w:val="xl88"/>
    <w:basedOn w:val="a"/>
    <w:rsid w:val="0054226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9">
    <w:name w:val="xl89"/>
    <w:basedOn w:val="a"/>
    <w:rsid w:val="0054226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0">
    <w:name w:val="xl90"/>
    <w:basedOn w:val="a"/>
    <w:rsid w:val="0054226F"/>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1">
    <w:name w:val="xl91"/>
    <w:basedOn w:val="a"/>
    <w:rsid w:val="0054226F"/>
    <w:pPr>
      <w:widowControl/>
      <w:pBdr>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2">
    <w:name w:val="xl92"/>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3">
    <w:name w:val="xl93"/>
    <w:basedOn w:val="a"/>
    <w:rsid w:val="0054226F"/>
    <w:pPr>
      <w:widowControl/>
      <w:pBdr>
        <w:top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4">
    <w:name w:val="xl94"/>
    <w:basedOn w:val="a"/>
    <w:rsid w:val="0054226F"/>
    <w:pPr>
      <w:widowControl/>
      <w:pBdr>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5">
    <w:name w:val="xl95"/>
    <w:basedOn w:val="a"/>
    <w:rsid w:val="0054226F"/>
    <w:pPr>
      <w:widowControl/>
      <w:pBdr>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6">
    <w:name w:val="xl96"/>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7">
    <w:name w:val="xl97"/>
    <w:basedOn w:val="a"/>
    <w:rsid w:val="0054226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98">
    <w:name w:val="xl98"/>
    <w:basedOn w:val="a"/>
    <w:rsid w:val="005422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9">
    <w:name w:val="xl99"/>
    <w:basedOn w:val="a"/>
    <w:rsid w:val="0054226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0">
    <w:name w:val="xl100"/>
    <w:basedOn w:val="a"/>
    <w:rsid w:val="0054226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1">
    <w:name w:val="xl101"/>
    <w:basedOn w:val="a"/>
    <w:rsid w:val="0054226F"/>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102">
    <w:name w:val="xl102"/>
    <w:basedOn w:val="a"/>
    <w:rsid w:val="0054226F"/>
    <w:pPr>
      <w:widowControl/>
      <w:spacing w:before="100" w:beforeAutospacing="1" w:after="100" w:afterAutospacing="1"/>
      <w:jc w:val="center"/>
    </w:pPr>
    <w:rPr>
      <w:rFonts w:ascii="宋体" w:hAnsi="宋体" w:cs="宋体"/>
      <w:kern w:val="0"/>
      <w:sz w:val="16"/>
      <w:szCs w:val="16"/>
    </w:rPr>
  </w:style>
  <w:style w:type="paragraph" w:customStyle="1" w:styleId="xl103">
    <w:name w:val="xl103"/>
    <w:basedOn w:val="a"/>
    <w:rsid w:val="0054226F"/>
    <w:pPr>
      <w:widowControl/>
      <w:pBdr>
        <w:top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4">
    <w:name w:val="xl104"/>
    <w:basedOn w:val="a"/>
    <w:rsid w:val="0054226F"/>
    <w:pPr>
      <w:widowControl/>
      <w:pBdr>
        <w:top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5">
    <w:name w:val="xl105"/>
    <w:basedOn w:val="a"/>
    <w:rsid w:val="0054226F"/>
    <w:pPr>
      <w:widowControl/>
      <w:pBdr>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106">
    <w:name w:val="xl106"/>
    <w:basedOn w:val="a"/>
    <w:rsid w:val="0054226F"/>
    <w:pPr>
      <w:widowControl/>
      <w:pBdr>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table" w:styleId="a9">
    <w:name w:val="Table Grid"/>
    <w:basedOn w:val="a1"/>
    <w:rsid w:val="005422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134816">
      <w:bodyDiv w:val="1"/>
      <w:marLeft w:val="0"/>
      <w:marRight w:val="0"/>
      <w:marTop w:val="0"/>
      <w:marBottom w:val="0"/>
      <w:divBdr>
        <w:top w:val="none" w:sz="0" w:space="0" w:color="auto"/>
        <w:left w:val="none" w:sz="0" w:space="0" w:color="auto"/>
        <w:bottom w:val="none" w:sz="0" w:space="0" w:color="auto"/>
        <w:right w:val="none" w:sz="0" w:space="0" w:color="auto"/>
      </w:divBdr>
    </w:div>
    <w:div w:id="496580396">
      <w:bodyDiv w:val="1"/>
      <w:marLeft w:val="0"/>
      <w:marRight w:val="0"/>
      <w:marTop w:val="0"/>
      <w:marBottom w:val="0"/>
      <w:divBdr>
        <w:top w:val="none" w:sz="0" w:space="0" w:color="auto"/>
        <w:left w:val="none" w:sz="0" w:space="0" w:color="auto"/>
        <w:bottom w:val="none" w:sz="0" w:space="0" w:color="auto"/>
        <w:right w:val="none" w:sz="0" w:space="0" w:color="auto"/>
      </w:divBdr>
    </w:div>
    <w:div w:id="806625056">
      <w:bodyDiv w:val="1"/>
      <w:marLeft w:val="0"/>
      <w:marRight w:val="0"/>
      <w:marTop w:val="0"/>
      <w:marBottom w:val="0"/>
      <w:divBdr>
        <w:top w:val="none" w:sz="0" w:space="0" w:color="auto"/>
        <w:left w:val="none" w:sz="0" w:space="0" w:color="auto"/>
        <w:bottom w:val="none" w:sz="0" w:space="0" w:color="auto"/>
        <w:right w:val="none" w:sz="0" w:space="0" w:color="auto"/>
      </w:divBdr>
    </w:div>
    <w:div w:id="832647410">
      <w:bodyDiv w:val="1"/>
      <w:marLeft w:val="0"/>
      <w:marRight w:val="0"/>
      <w:marTop w:val="0"/>
      <w:marBottom w:val="0"/>
      <w:divBdr>
        <w:top w:val="none" w:sz="0" w:space="0" w:color="auto"/>
        <w:left w:val="none" w:sz="0" w:space="0" w:color="auto"/>
        <w:bottom w:val="none" w:sz="0" w:space="0" w:color="auto"/>
        <w:right w:val="none" w:sz="0" w:space="0" w:color="auto"/>
      </w:divBdr>
    </w:div>
    <w:div w:id="852644437">
      <w:bodyDiv w:val="1"/>
      <w:marLeft w:val="0"/>
      <w:marRight w:val="0"/>
      <w:marTop w:val="0"/>
      <w:marBottom w:val="0"/>
      <w:divBdr>
        <w:top w:val="none" w:sz="0" w:space="0" w:color="auto"/>
        <w:left w:val="none" w:sz="0" w:space="0" w:color="auto"/>
        <w:bottom w:val="none" w:sz="0" w:space="0" w:color="auto"/>
        <w:right w:val="none" w:sz="0" w:space="0" w:color="auto"/>
      </w:divBdr>
    </w:div>
    <w:div w:id="968054964">
      <w:bodyDiv w:val="1"/>
      <w:marLeft w:val="0"/>
      <w:marRight w:val="0"/>
      <w:marTop w:val="0"/>
      <w:marBottom w:val="0"/>
      <w:divBdr>
        <w:top w:val="none" w:sz="0" w:space="0" w:color="auto"/>
        <w:left w:val="none" w:sz="0" w:space="0" w:color="auto"/>
        <w:bottom w:val="none" w:sz="0" w:space="0" w:color="auto"/>
        <w:right w:val="none" w:sz="0" w:space="0" w:color="auto"/>
      </w:divBdr>
    </w:div>
    <w:div w:id="1689870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2190</Characters>
  <Application>Microsoft Office Word</Application>
  <DocSecurity>0</DocSecurity>
  <Lines>18</Lines>
  <Paragraphs>5</Paragraphs>
  <ScaleCrop>false</ScaleCrop>
  <Company>WWW.YlmF.CoM</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dc:creator>
  <cp:lastModifiedBy>AutoBVT</cp:lastModifiedBy>
  <cp:revision>2</cp:revision>
  <cp:lastPrinted>2017-11-16T11:23:00Z</cp:lastPrinted>
  <dcterms:created xsi:type="dcterms:W3CDTF">2023-11-14T07:46:00Z</dcterms:created>
  <dcterms:modified xsi:type="dcterms:W3CDTF">2023-11-14T07:46:00Z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2052-2.3.1.3761</vt:lpwstr>
  </property>
</Properties>
</file>