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名称：</w:t>
      </w: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全自动微生物鉴定及药敏分析仪</w:t>
      </w:r>
      <w:bookmarkEnd w:id="0"/>
    </w:p>
    <w:p>
      <w:pPr>
        <w:numPr>
          <w:ilvl w:val="0"/>
          <w:numId w:val="0"/>
        </w:numPr>
        <w:snapToGrid w:val="0"/>
        <w:spacing w:before="156" w:beforeLines="50" w:line="360" w:lineRule="auto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鉴定药敏分析仪通过NMPA（CFDA）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default" w:ascii="宋体" w:hAnsi="宋体"/>
          <w:sz w:val="24"/>
          <w:szCs w:val="24"/>
          <w:lang w:val="en-US"/>
        </w:rPr>
        <w:t>FDA</w:t>
      </w:r>
      <w:r>
        <w:rPr>
          <w:rFonts w:hint="eastAsia" w:ascii="宋体" w:hAnsi="宋体"/>
          <w:sz w:val="24"/>
          <w:szCs w:val="24"/>
          <w:lang w:val="en-US" w:eastAsia="zh-CN"/>
        </w:rPr>
        <w:t>或</w:t>
      </w:r>
      <w:r>
        <w:rPr>
          <w:rFonts w:hint="default" w:ascii="宋体" w:hAnsi="宋体"/>
          <w:sz w:val="24"/>
          <w:szCs w:val="24"/>
          <w:lang w:val="en-US" w:eastAsia="zh-CN"/>
        </w:rPr>
        <w:t>CE</w:t>
      </w:r>
      <w:r>
        <w:rPr>
          <w:rFonts w:hint="eastAsia" w:ascii="宋体" w:hAnsi="宋体"/>
          <w:sz w:val="24"/>
          <w:szCs w:val="24"/>
          <w:lang w:val="en-US" w:eastAsia="zh-CN"/>
        </w:rPr>
        <w:t>认证</w:t>
      </w:r>
    </w:p>
    <w:p>
      <w:pPr>
        <w:numPr>
          <w:ilvl w:val="0"/>
          <w:numId w:val="0"/>
        </w:numPr>
        <w:snapToGrid w:val="0"/>
        <w:spacing w:before="156" w:beforeLines="50" w:line="360" w:lineRule="auto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检测原理：采用动态比色法、比浊法判读生化反应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采用比浊法为检测手段测定抗生素最低抑菌浓度（</w:t>
      </w:r>
      <w:r>
        <w:rPr>
          <w:rFonts w:ascii="宋体" w:hAnsi="宋体"/>
          <w:sz w:val="24"/>
          <w:szCs w:val="24"/>
        </w:rPr>
        <w:t>MIC</w:t>
      </w:r>
      <w:r>
        <w:rPr>
          <w:rFonts w:hint="eastAsia" w:ascii="宋体" w:hAnsi="宋体"/>
          <w:sz w:val="24"/>
          <w:szCs w:val="24"/>
        </w:rPr>
        <w:t>）。</w:t>
      </w:r>
    </w:p>
    <w:p>
      <w:pPr>
        <w:numPr>
          <w:ilvl w:val="0"/>
          <w:numId w:val="0"/>
        </w:numPr>
        <w:snapToGrid w:val="0"/>
        <w:spacing w:before="156" w:beforeLines="50" w:line="360" w:lineRule="auto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hAnsi="宋体"/>
          <w:sz w:val="24"/>
          <w:szCs w:val="24"/>
          <w:lang w:eastAsia="zh-CN"/>
        </w:rPr>
        <w:t>*</w:t>
      </w:r>
      <w:r>
        <w:rPr>
          <w:rFonts w:hint="eastAsia" w:hAnsi="宋体"/>
          <w:sz w:val="24"/>
          <w:szCs w:val="24"/>
          <w:lang w:val="en-US" w:eastAsia="zh-CN"/>
        </w:rPr>
        <w:t>3、</w:t>
      </w:r>
      <w:r>
        <w:rPr>
          <w:rFonts w:hint="eastAsia" w:hAnsi="宋体"/>
          <w:sz w:val="24"/>
          <w:szCs w:val="24"/>
        </w:rPr>
        <w:t>鉴定和药敏</w:t>
      </w:r>
      <w:r>
        <w:rPr>
          <w:rFonts w:hint="eastAsia" w:hAnsi="宋体"/>
          <w:sz w:val="24"/>
          <w:szCs w:val="24"/>
          <w:lang w:val="en-US" w:eastAsia="zh-CN"/>
        </w:rPr>
        <w:t>测试卡采用全封闭式附独立条形码，</w:t>
      </w:r>
      <w:r>
        <w:rPr>
          <w:rFonts w:hint="eastAsia" w:hAnsi="宋体"/>
          <w:sz w:val="24"/>
          <w:szCs w:val="24"/>
        </w:rPr>
        <w:t>无需额外添加</w:t>
      </w:r>
      <w:r>
        <w:rPr>
          <w:rFonts w:hint="eastAsia" w:hAnsi="宋体"/>
          <w:sz w:val="24"/>
          <w:szCs w:val="24"/>
          <w:lang w:val="en-US" w:eastAsia="zh-CN"/>
        </w:rPr>
        <w:t>专用</w:t>
      </w:r>
      <w:r>
        <w:rPr>
          <w:rFonts w:hint="eastAsia" w:hAnsi="宋体"/>
          <w:sz w:val="24"/>
          <w:szCs w:val="24"/>
        </w:rPr>
        <w:t>指示剂</w:t>
      </w:r>
      <w:r>
        <w:rPr>
          <w:rFonts w:hint="eastAsia" w:hAnsi="宋体"/>
          <w:sz w:val="24"/>
          <w:szCs w:val="24"/>
          <w:lang w:val="en-US" w:eastAsia="zh-CN"/>
        </w:rPr>
        <w:t>及其他耗材</w:t>
      </w:r>
      <w:r>
        <w:rPr>
          <w:rFonts w:hint="eastAsia" w:hAnsi="宋体"/>
          <w:sz w:val="24"/>
          <w:szCs w:val="24"/>
        </w:rPr>
        <w:t>等</w:t>
      </w:r>
      <w:r>
        <w:rPr>
          <w:rFonts w:hint="eastAsia" w:hAnsi="宋体"/>
          <w:sz w:val="24"/>
          <w:szCs w:val="24"/>
          <w:lang w:val="en-US" w:eastAsia="zh-CN"/>
        </w:rPr>
        <w:t>即可上机</w:t>
      </w:r>
      <w:r>
        <w:rPr>
          <w:rFonts w:hint="eastAsia" w:hAnsi="宋体"/>
          <w:sz w:val="24"/>
          <w:szCs w:val="24"/>
          <w:lang w:eastAsia="zh-CN"/>
        </w:rPr>
        <w:t>；</w:t>
      </w:r>
      <w:r>
        <w:rPr>
          <w:rFonts w:hint="eastAsia" w:hAnsi="宋体"/>
          <w:sz w:val="24"/>
          <w:szCs w:val="24"/>
        </w:rPr>
        <w:t>鉴定</w:t>
      </w:r>
      <w:r>
        <w:rPr>
          <w:rFonts w:hint="eastAsia" w:hAnsi="宋体"/>
          <w:sz w:val="24"/>
          <w:szCs w:val="24"/>
          <w:lang w:eastAsia="zh-CN"/>
        </w:rPr>
        <w:t>板</w:t>
      </w:r>
      <w:r>
        <w:rPr>
          <w:rFonts w:hint="eastAsia" w:hAnsi="宋体"/>
          <w:sz w:val="24"/>
          <w:szCs w:val="24"/>
        </w:rPr>
        <w:t>和药敏</w:t>
      </w:r>
      <w:r>
        <w:rPr>
          <w:rFonts w:hint="eastAsia" w:hAnsi="宋体"/>
          <w:sz w:val="24"/>
          <w:szCs w:val="24"/>
          <w:lang w:eastAsia="zh-CN"/>
        </w:rPr>
        <w:t>板独立</w:t>
      </w:r>
      <w:r>
        <w:rPr>
          <w:rFonts w:hint="eastAsia" w:hAnsi="宋体"/>
          <w:sz w:val="24"/>
          <w:szCs w:val="24"/>
        </w:rPr>
        <w:t>包装。</w:t>
      </w:r>
    </w:p>
    <w:p>
      <w:pPr>
        <w:numPr>
          <w:ilvl w:val="0"/>
          <w:numId w:val="0"/>
        </w:numPr>
        <w:snapToGrid w:val="0"/>
        <w:spacing w:before="156" w:beforeLines="50" w:line="360" w:lineRule="auto"/>
        <w:contextualSpacing/>
        <w:rPr>
          <w:rFonts w:hint="eastAsia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仪器具有≥</w:t>
      </w:r>
      <w:r>
        <w:rPr>
          <w:rFonts w:hint="eastAsia" w:ascii="宋体" w:hAnsi="宋体"/>
          <w:sz w:val="24"/>
          <w:szCs w:val="24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个检测位。</w:t>
      </w:r>
    </w:p>
    <w:p>
      <w:pPr>
        <w:pStyle w:val="2"/>
        <w:spacing w:line="360" w:lineRule="auto"/>
        <w:rPr>
          <w:rFonts w:hint="eastAsia" w:ascii="宋体" w:hAnsi="宋体"/>
          <w:sz w:val="24"/>
          <w:szCs w:val="21"/>
        </w:rPr>
      </w:pPr>
      <w:r>
        <w:rPr>
          <w:rFonts w:hint="eastAsia" w:hAnsi="宋体"/>
          <w:sz w:val="24"/>
          <w:szCs w:val="24"/>
          <w:lang w:eastAsia="zh-CN"/>
        </w:rPr>
        <w:t>*</w:t>
      </w:r>
      <w:r>
        <w:rPr>
          <w:rFonts w:hint="eastAsia" w:hAnsi="宋体"/>
          <w:sz w:val="24"/>
          <w:szCs w:val="24"/>
          <w:lang w:val="en-US" w:eastAsia="zh-CN"/>
        </w:rPr>
        <w:t>5、</w:t>
      </w:r>
      <w:r>
        <w:rPr>
          <w:rFonts w:hint="eastAsia" w:hAnsi="宋体"/>
          <w:sz w:val="24"/>
          <w:szCs w:val="24"/>
        </w:rPr>
        <w:t>细菌鉴定总数≥5</w:t>
      </w:r>
      <w:r>
        <w:rPr>
          <w:rFonts w:hint="eastAsia" w:hAnsi="宋体"/>
          <w:sz w:val="24"/>
          <w:szCs w:val="24"/>
          <w:lang w:eastAsia="zh-CN"/>
        </w:rPr>
        <w:t>8</w:t>
      </w:r>
      <w:r>
        <w:rPr>
          <w:rFonts w:hint="eastAsia" w:hAnsi="宋体"/>
          <w:sz w:val="24"/>
          <w:szCs w:val="24"/>
        </w:rPr>
        <w:t>0种，可鉴定种类需包含：革兰阴性杆菌、革兰阳性菌（葡萄球、肠球、链球、李斯特等）、厌氧菌、棒状杆菌、真菌、苛养菌（嗜血杆菌、奈瑟菌属等</w:t>
      </w:r>
      <w:r>
        <w:rPr>
          <w:rFonts w:hAnsi="宋体"/>
          <w:sz w:val="24"/>
          <w:szCs w:val="24"/>
        </w:rPr>
        <w:t>）</w:t>
      </w:r>
      <w:r>
        <w:rPr>
          <w:rFonts w:hint="eastAsia" w:hAnsi="宋体"/>
          <w:sz w:val="24"/>
          <w:szCs w:val="24"/>
        </w:rPr>
        <w:t>、芽孢杆菌等。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default" w:hAnsi="宋体"/>
          <w:sz w:val="24"/>
          <w:szCs w:val="24"/>
          <w:lang w:val="en-US" w:eastAsia="zh-CN"/>
        </w:rPr>
        <w:t>*</w:t>
      </w:r>
      <w:r>
        <w:rPr>
          <w:rFonts w:hint="eastAsia" w:hAnsi="宋体"/>
          <w:sz w:val="24"/>
          <w:szCs w:val="24"/>
          <w:lang w:val="en-US" w:eastAsia="zh-CN"/>
        </w:rPr>
        <w:t>6、具备高传染性高致病菌</w:t>
      </w:r>
      <w:r>
        <w:rPr>
          <w:rFonts w:hint="eastAsia" w:hAnsi="宋体"/>
          <w:sz w:val="24"/>
          <w:szCs w:val="24"/>
        </w:rPr>
        <w:t>如鼠疫耶尔森菌、炭疽芽孢</w:t>
      </w:r>
      <w:r>
        <w:rPr>
          <w:rFonts w:hint="eastAsia" w:hAnsi="宋体"/>
          <w:sz w:val="24"/>
          <w:szCs w:val="24"/>
          <w:lang w:val="en-US" w:eastAsia="zh-CN"/>
        </w:rPr>
        <w:t>杆菌</w:t>
      </w:r>
      <w:r>
        <w:rPr>
          <w:rFonts w:hint="eastAsia" w:hAnsi="宋体"/>
          <w:sz w:val="24"/>
          <w:szCs w:val="24"/>
        </w:rPr>
        <w:t>、霍乱弧菌、布鲁</w:t>
      </w:r>
      <w:r>
        <w:rPr>
          <w:rFonts w:hint="eastAsia" w:hAnsi="宋体"/>
          <w:sz w:val="24"/>
          <w:szCs w:val="24"/>
          <w:lang w:val="en-US" w:eastAsia="zh-CN"/>
        </w:rPr>
        <w:t>氏</w:t>
      </w:r>
      <w:r>
        <w:rPr>
          <w:rFonts w:hint="eastAsia" w:hAnsi="宋体"/>
          <w:sz w:val="24"/>
          <w:szCs w:val="24"/>
        </w:rPr>
        <w:t>菌</w:t>
      </w:r>
      <w:r>
        <w:rPr>
          <w:rFonts w:hint="eastAsia" w:hAnsi="宋体"/>
          <w:sz w:val="24"/>
          <w:szCs w:val="24"/>
          <w:lang w:eastAsia="zh-CN"/>
        </w:rPr>
        <w:t>的鉴定能力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7、系统</w:t>
      </w:r>
      <w:r>
        <w:rPr>
          <w:rFonts w:hint="eastAsia" w:hAnsi="宋体"/>
          <w:sz w:val="24"/>
          <w:szCs w:val="24"/>
          <w:lang w:eastAsia="zh-CN"/>
        </w:rPr>
        <w:t>至少</w:t>
      </w:r>
      <w:r>
        <w:rPr>
          <w:rFonts w:hint="eastAsia" w:hAnsi="宋体"/>
          <w:sz w:val="24"/>
          <w:szCs w:val="24"/>
        </w:rPr>
        <w:t>可对革兰氏阴性杆菌（肠杆、非肠杆）、葡萄球、肠球、无乳链球、肺炎链球</w:t>
      </w:r>
      <w:r>
        <w:rPr>
          <w:rFonts w:hint="eastAsia" w:hAnsi="宋体"/>
          <w:sz w:val="24"/>
          <w:szCs w:val="24"/>
          <w:lang w:eastAsia="zh-CN"/>
        </w:rPr>
        <w:t>、真菌</w:t>
      </w:r>
      <w:r>
        <w:rPr>
          <w:rFonts w:hint="eastAsia" w:hAnsi="宋体"/>
          <w:sz w:val="24"/>
          <w:szCs w:val="24"/>
        </w:rPr>
        <w:t>等进行药敏试验。</w:t>
      </w:r>
    </w:p>
    <w:p>
      <w:pPr>
        <w:pStyle w:val="2"/>
        <w:spacing w:line="360" w:lineRule="auto"/>
        <w:rPr>
          <w:rFonts w:hint="default" w:hAnsi="宋体"/>
          <w:sz w:val="24"/>
          <w:szCs w:val="24"/>
          <w:lang w:val="en-US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hAnsi="宋体"/>
          <w:sz w:val="24"/>
          <w:szCs w:val="24"/>
          <w:lang w:eastAsia="zh-CN"/>
        </w:rPr>
        <w:t>每种药敏卡中至少90%的抗菌药物可</w:t>
      </w:r>
      <w:r>
        <w:rPr>
          <w:rFonts w:hint="eastAsia" w:hAnsi="宋体"/>
          <w:sz w:val="24"/>
          <w:szCs w:val="24"/>
          <w:lang w:val="en-US" w:eastAsia="zh-CN"/>
        </w:rPr>
        <w:t>检测不低于</w:t>
      </w:r>
      <w:r>
        <w:rPr>
          <w:rFonts w:hint="eastAsia" w:hAnsi="宋体"/>
          <w:sz w:val="24"/>
          <w:szCs w:val="24"/>
          <w:lang w:eastAsia="zh-CN"/>
        </w:rPr>
        <w:t>5个连续的</w:t>
      </w:r>
      <w:r>
        <w:rPr>
          <w:rFonts w:hint="eastAsia" w:hAnsi="宋体"/>
          <w:sz w:val="24"/>
          <w:szCs w:val="24"/>
          <w:lang w:val="en-US" w:eastAsia="zh-CN"/>
        </w:rPr>
        <w:t>MIC</w:t>
      </w:r>
      <w:r>
        <w:rPr>
          <w:rFonts w:hint="eastAsia" w:hAnsi="宋体"/>
          <w:sz w:val="24"/>
          <w:szCs w:val="24"/>
          <w:lang w:eastAsia="zh-CN"/>
        </w:rPr>
        <w:t>。</w:t>
      </w:r>
      <w:r>
        <w:rPr>
          <w:rFonts w:hint="eastAsia" w:hAnsi="宋体"/>
          <w:color w:val="000000"/>
          <w:sz w:val="24"/>
          <w:szCs w:val="24"/>
          <w:lang w:val="en-US" w:eastAsia="zh-CN"/>
        </w:rPr>
        <w:t>对于</w:t>
      </w:r>
      <w:r>
        <w:rPr>
          <w:rFonts w:hint="eastAsia" w:hAnsi="宋体"/>
          <w:color w:val="000000"/>
          <w:sz w:val="24"/>
          <w:szCs w:val="24"/>
          <w:lang w:eastAsia="zh-CN"/>
        </w:rPr>
        <w:t>革兰阳性菌药敏测试卡中至少包含头孢洛林、替考拉宁、达托霉素、利奈唑胺、万古霉素；</w:t>
      </w:r>
      <w:r>
        <w:rPr>
          <w:rFonts w:hint="eastAsia" w:hAnsi="宋体"/>
          <w:color w:val="000000"/>
          <w:sz w:val="24"/>
          <w:szCs w:val="24"/>
          <w:lang w:val="en-US" w:eastAsia="zh-CN"/>
        </w:rPr>
        <w:t>阴性菌药敏测试卡至少含有舒普深、粘菌素、替加环素等临床常用抗生素。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9、</w:t>
      </w:r>
      <w:r>
        <w:rPr>
          <w:rFonts w:hint="eastAsia" w:hAnsi="宋体"/>
          <w:sz w:val="24"/>
          <w:szCs w:val="24"/>
        </w:rPr>
        <w:t>具备基于MIC分布图谱</w:t>
      </w:r>
      <w:r>
        <w:rPr>
          <w:rFonts w:hint="eastAsia" w:hAnsi="宋体"/>
          <w:sz w:val="24"/>
          <w:szCs w:val="24"/>
          <w:lang w:val="en-US" w:eastAsia="zh-CN"/>
        </w:rPr>
        <w:t>来</w:t>
      </w:r>
      <w:r>
        <w:rPr>
          <w:rFonts w:hint="eastAsia" w:hAnsi="宋体"/>
          <w:sz w:val="24"/>
          <w:szCs w:val="24"/>
        </w:rPr>
        <w:t>检测多种耐药表型</w:t>
      </w:r>
      <w:r>
        <w:rPr>
          <w:rFonts w:hint="eastAsia" w:hAnsi="宋体"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</w:rPr>
        <w:t>如碳青霉烯类的KPC、OXA、MBL以及</w:t>
      </w:r>
      <w:r>
        <w:rPr>
          <w:rFonts w:hAnsi="宋体"/>
          <w:sz w:val="24"/>
          <w:szCs w:val="24"/>
        </w:rPr>
        <w:t>MRS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>ESBL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>VREa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>HLSR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>HLGR</w:t>
      </w:r>
      <w:r>
        <w:rPr>
          <w:rFonts w:hint="eastAsia" w:hAnsi="宋体"/>
          <w:sz w:val="24"/>
          <w:szCs w:val="24"/>
        </w:rPr>
        <w:t>、</w:t>
      </w:r>
      <w:r>
        <w:rPr>
          <w:rFonts w:hAnsi="宋体"/>
          <w:sz w:val="24"/>
          <w:szCs w:val="24"/>
        </w:rPr>
        <w:t xml:space="preserve"> PRP</w:t>
      </w:r>
      <w:r>
        <w:rPr>
          <w:rFonts w:hint="eastAsia" w:hAnsi="宋体"/>
          <w:sz w:val="24"/>
          <w:szCs w:val="24"/>
        </w:rPr>
        <w:t>等</w:t>
      </w:r>
      <w:r>
        <w:rPr>
          <w:rFonts w:hint="eastAsia" w:hAnsi="宋体"/>
          <w:sz w:val="24"/>
          <w:szCs w:val="24"/>
          <w:lang w:val="en-US" w:eastAsia="zh-CN"/>
        </w:rPr>
        <w:t>的高级专家系统，且高级专家系统中必须包含</w:t>
      </w:r>
      <w:r>
        <w:rPr>
          <w:rFonts w:hint="eastAsia" w:hAnsi="宋体"/>
          <w:sz w:val="24"/>
          <w:szCs w:val="24"/>
        </w:rPr>
        <w:t>美国</w:t>
      </w:r>
      <w:r>
        <w:rPr>
          <w:rFonts w:hAnsi="宋体"/>
          <w:sz w:val="24"/>
          <w:szCs w:val="24"/>
        </w:rPr>
        <w:t>CLSI</w:t>
      </w:r>
      <w:r>
        <w:rPr>
          <w:rFonts w:hint="eastAsia" w:hAnsi="宋体"/>
          <w:sz w:val="24"/>
          <w:szCs w:val="24"/>
        </w:rPr>
        <w:t>及</w:t>
      </w:r>
      <w:r>
        <w:rPr>
          <w:rFonts w:hAnsi="宋体"/>
          <w:sz w:val="24"/>
          <w:szCs w:val="24"/>
        </w:rPr>
        <w:t>EUCAST</w:t>
      </w:r>
      <w:r>
        <w:rPr>
          <w:rFonts w:hint="eastAsia" w:hAnsi="宋体"/>
          <w:sz w:val="24"/>
          <w:szCs w:val="24"/>
        </w:rPr>
        <w:t>等</w:t>
      </w:r>
      <w:r>
        <w:rPr>
          <w:rFonts w:hint="eastAsia" w:hAnsi="宋体" w:cs="宋体"/>
          <w:sz w:val="24"/>
          <w:szCs w:val="24"/>
        </w:rPr>
        <w:t>国际</w:t>
      </w:r>
      <w:r>
        <w:rPr>
          <w:rFonts w:hint="eastAsia" w:hAnsi="宋体" w:cs="宋体"/>
          <w:sz w:val="24"/>
          <w:szCs w:val="24"/>
          <w:lang w:val="en-US" w:eastAsia="zh-CN"/>
        </w:rPr>
        <w:t>药敏解释</w:t>
      </w:r>
      <w:r>
        <w:rPr>
          <w:rFonts w:hint="eastAsia" w:hAnsi="宋体" w:cs="宋体"/>
          <w:sz w:val="24"/>
          <w:szCs w:val="24"/>
        </w:rPr>
        <w:t>标准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/>
          <w:sz w:val="24"/>
          <w:szCs w:val="24"/>
        </w:rPr>
        <w:t>解释标准需每年及时进行</w:t>
      </w:r>
      <w:r>
        <w:rPr>
          <w:rFonts w:hint="eastAsia" w:hAnsi="宋体"/>
          <w:sz w:val="24"/>
          <w:szCs w:val="24"/>
          <w:lang w:val="en-US" w:eastAsia="zh-CN"/>
        </w:rPr>
        <w:t>免费</w:t>
      </w:r>
      <w:r>
        <w:rPr>
          <w:rFonts w:hint="eastAsia" w:hAnsi="宋体"/>
          <w:sz w:val="24"/>
          <w:szCs w:val="24"/>
        </w:rPr>
        <w:t>更新。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•10、可以实现与耐药检测网CARSS中间件连接，保障耐药数据规范快速上报，实现对ESBL，CRE，MRSA，VRE等13种重点耐药率指标监测，对高于全国/本省平均耐药率的结果实现自动预警。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default" w:hAnsi="宋体"/>
          <w:sz w:val="24"/>
          <w:szCs w:val="24"/>
          <w:lang w:val="en-US" w:eastAsia="zh-CN"/>
        </w:rPr>
        <w:t>*</w:t>
      </w:r>
      <w:r>
        <w:rPr>
          <w:rFonts w:hint="eastAsia" w:hAnsi="宋体"/>
          <w:sz w:val="24"/>
          <w:szCs w:val="24"/>
          <w:lang w:val="en-US" w:eastAsia="zh-CN"/>
        </w:rPr>
        <w:t>11、提供可与鉴定药敏系统连接的比浊仪，自动将配制的菌悬液浊度传输到仪器中储存，确保药敏结果直接溯源到菌液浊度，提高药敏定量结果临床参考性。标准浊度管永久有效，保证比浊仪校准和药敏结果的可靠性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eastAsia="zh-CN"/>
        </w:rPr>
      </w:pPr>
      <w:r>
        <w:rPr>
          <w:rFonts w:hint="default" w:hAnsi="宋体"/>
          <w:sz w:val="24"/>
          <w:szCs w:val="24"/>
          <w:lang w:val="en-US" w:eastAsia="zh-CN"/>
        </w:rPr>
        <w:t>*</w:t>
      </w:r>
      <w:r>
        <w:rPr>
          <w:rFonts w:hint="eastAsia" w:hAnsi="宋体"/>
          <w:sz w:val="24"/>
          <w:szCs w:val="24"/>
          <w:lang w:val="en-US" w:eastAsia="zh-CN"/>
        </w:rPr>
        <w:t>12、</w:t>
      </w:r>
      <w:r>
        <w:rPr>
          <w:rFonts w:hint="eastAsia" w:hAnsi="宋体"/>
          <w:sz w:val="24"/>
          <w:szCs w:val="24"/>
          <w:lang w:eastAsia="zh-CN"/>
        </w:rPr>
        <w:t>设备可实现</w:t>
      </w:r>
      <w:r>
        <w:rPr>
          <w:rFonts w:hint="eastAsia" w:hAnsi="宋体"/>
          <w:sz w:val="24"/>
          <w:szCs w:val="24"/>
          <w:lang w:val="en-US" w:eastAsia="zh-CN"/>
        </w:rPr>
        <w:t>自动稀释药敏菌悬液，自动填充卡片，</w:t>
      </w:r>
      <w:r>
        <w:rPr>
          <w:rFonts w:hint="eastAsia" w:hAnsi="宋体"/>
          <w:sz w:val="24"/>
          <w:szCs w:val="24"/>
          <w:lang w:eastAsia="zh-CN"/>
        </w:rPr>
        <w:t>自动上机，自动孵育，自动判读，自动卸载测试卡。</w:t>
      </w:r>
    </w:p>
    <w:p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•</w:t>
      </w:r>
      <w:r>
        <w:rPr>
          <w:rFonts w:hint="default" w:hAnsi="宋体"/>
          <w:sz w:val="24"/>
          <w:szCs w:val="24"/>
          <w:lang w:val="en-US" w:eastAsia="zh-CN"/>
        </w:rPr>
        <w:t>1</w:t>
      </w:r>
      <w:r>
        <w:rPr>
          <w:rFonts w:hint="eastAsia" w:hAnsi="宋体"/>
          <w:sz w:val="24"/>
          <w:szCs w:val="24"/>
          <w:lang w:val="en-US" w:eastAsia="zh-CN"/>
        </w:rPr>
        <w:t>3、对于真菌药敏测试卡至少包含卡泊芬净、氟康唑、氟胞嘧啶、米卡芬净和伏立康唑等临床常用抗生素。</w:t>
      </w:r>
    </w:p>
    <w:p>
      <w:pPr>
        <w:pStyle w:val="2"/>
        <w:spacing w:line="360" w:lineRule="auto"/>
        <w:rPr>
          <w:rFonts w:hAnsi="宋体"/>
          <w:sz w:val="24"/>
          <w:szCs w:val="24"/>
          <w:lang w:eastAsia="zh-CN"/>
        </w:rPr>
      </w:pP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售后服务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1、保证备件的存储并提供备件的发货，提供在线支持、现场检修、全部零备件更换。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2、所有备件保证是原厂备件并提供清晰合法的来源证明材料。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3、提供免费维修服务热线，提供维修技术专家开展远程在线技术支持和维修诊断，及时派工程师进行指导或赴现场维修。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4、报修响应时间≤1小时；如需到场维修，到达现场时间≤8小时。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pStyle w:val="2"/>
        <w:spacing w:line="360" w:lineRule="auto"/>
        <w:rPr>
          <w:rFonts w:hint="default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质保时间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设备经过验收后整机质保不少于三年。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保修起算日</w:t>
      </w:r>
    </w:p>
    <w:p>
      <w:pPr>
        <w:pStyle w:val="2"/>
        <w:spacing w:line="360" w:lineRule="auto"/>
        <w:rPr>
          <w:rFonts w:hint="default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1、自设备验收合格之日起。</w:t>
      </w:r>
    </w:p>
    <w:p>
      <w:pPr>
        <w:pStyle w:val="2"/>
        <w:spacing w:line="360" w:lineRule="auto"/>
        <w:rPr>
          <w:rFonts w:hint="eastAsia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Y2M4MmM5NWI1MDQ5YmYzZTM2MmY1NGZlODQ1ZWYifQ=="/>
  </w:docVars>
  <w:rsids>
    <w:rsidRoot w:val="00000000"/>
    <w:rsid w:val="0FA05AB1"/>
    <w:rsid w:val="28033332"/>
    <w:rsid w:val="46BA2397"/>
    <w:rsid w:val="54C4451C"/>
    <w:rsid w:val="62E81D53"/>
    <w:rsid w:val="63F57AF7"/>
    <w:rsid w:val="684756A2"/>
    <w:rsid w:val="7DF535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kern w:val="2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ind w:left="0" w:right="0"/>
      <w:jc w:val="center"/>
      <w:outlineLvl w:val="0"/>
    </w:pPr>
    <w:rPr>
      <w:rFonts w:ascii="Cambria" w:hAnsi="Cambria" w:cs="宋体"/>
      <w:b/>
      <w:bCs/>
      <w:sz w:val="32"/>
      <w:szCs w:val="32"/>
      <w:lang w:eastAsia="en-US" w:bidi="ar-SA"/>
    </w:rPr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eastAsia="宋体" w:cs="Times New Roman"/>
      <w:sz w:val="24"/>
      <w:szCs w:val="21"/>
    </w:rPr>
  </w:style>
  <w:style w:type="paragraph" w:customStyle="1" w:styleId="9">
    <w:name w:val="列出段落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List Paragraph"/>
    <w:basedOn w:val="1"/>
    <w:qFormat/>
    <w:uiPriority w:val="0"/>
    <w:pPr>
      <w:spacing w:after="0"/>
      <w:ind w:firstLine="420" w:firstLineChars="200"/>
    </w:pPr>
    <w:rPr>
      <w:sz w:val="24"/>
      <w:szCs w:val="24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884</Words>
  <Characters>976</Characters>
  <Lines>0</Lines>
  <Paragraphs>18</Paragraphs>
  <ScaleCrop>false</ScaleCrop>
  <LinksUpToDate>false</LinksUpToDate>
  <CharactersWithSpaces>980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2019-06-06T01:17:00Z</dcterms:created>
  <dc:creator>锋刚 董</dc:creator>
  <cp:lastModifiedBy>1</cp:lastModifiedBy>
  <dcterms:modified xsi:type="dcterms:W3CDTF">2023-08-22T02:18:00Z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6B9DD8C08A0F43B0833244DCC5165877</vt:lpwstr>
  </property>
</Properties>
</file>