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52C" w:rsidRPr="006A5F26" w:rsidRDefault="00C57608" w:rsidP="006A5F26">
      <w:pPr>
        <w:jc w:val="center"/>
        <w:rPr>
          <w:b/>
          <w:sz w:val="28"/>
          <w:szCs w:val="28"/>
        </w:rPr>
      </w:pPr>
      <w:r w:rsidRPr="00C57608">
        <w:rPr>
          <w:rFonts w:hint="eastAsia"/>
          <w:b/>
          <w:sz w:val="28"/>
          <w:szCs w:val="28"/>
        </w:rPr>
        <w:t>内控管理系统招标参数</w:t>
      </w:r>
    </w:p>
    <w:tbl>
      <w:tblPr>
        <w:tblpPr w:leftFromText="180" w:rightFromText="180" w:vertAnchor="text" w:horzAnchor="margin" w:tblpXSpec="center" w:tblpY="541"/>
        <w:tblW w:w="9785" w:type="dxa"/>
        <w:tblLayout w:type="fixed"/>
        <w:tblLook w:val="04A0"/>
      </w:tblPr>
      <w:tblGrid>
        <w:gridCol w:w="638"/>
        <w:gridCol w:w="1313"/>
        <w:gridCol w:w="2447"/>
        <w:gridCol w:w="5387"/>
      </w:tblGrid>
      <w:tr w:rsidR="00E63AFD" w:rsidRPr="006D2219" w:rsidTr="00E63AFD">
        <w:trPr>
          <w:trHeight w:val="512"/>
        </w:trPr>
        <w:tc>
          <w:tcPr>
            <w:tcW w:w="638"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E63AFD" w:rsidRPr="006D2219" w:rsidRDefault="00CA4B58" w:rsidP="00A26DA4">
            <w:pPr>
              <w:widowControl/>
              <w:jc w:val="center"/>
              <w:rPr>
                <w:rFonts w:ascii="Calibri" w:hAnsi="Calibri" w:cs="宋体"/>
                <w:b/>
                <w:bCs/>
                <w:color w:val="000000"/>
                <w:kern w:val="0"/>
                <w:sz w:val="18"/>
                <w:szCs w:val="18"/>
              </w:rPr>
            </w:pPr>
            <w:r>
              <w:rPr>
                <w:rFonts w:ascii="Calibri" w:hAnsi="Calibri" w:cs="宋体" w:hint="eastAsia"/>
                <w:b/>
                <w:bCs/>
                <w:color w:val="000000"/>
                <w:kern w:val="0"/>
                <w:sz w:val="18"/>
                <w:szCs w:val="18"/>
              </w:rPr>
              <w:t>序号</w:t>
            </w:r>
            <w:bookmarkStart w:id="0" w:name="_GoBack"/>
            <w:bookmarkEnd w:id="0"/>
          </w:p>
        </w:tc>
        <w:tc>
          <w:tcPr>
            <w:tcW w:w="1313" w:type="dxa"/>
            <w:tcBorders>
              <w:top w:val="single" w:sz="4" w:space="0" w:color="auto"/>
              <w:left w:val="nil"/>
              <w:bottom w:val="single" w:sz="4" w:space="0" w:color="auto"/>
              <w:right w:val="single" w:sz="4" w:space="0" w:color="auto"/>
            </w:tcBorders>
            <w:shd w:val="clear" w:color="000000" w:fill="E6E6E6"/>
            <w:vAlign w:val="center"/>
          </w:tcPr>
          <w:p w:rsidR="00E63AFD" w:rsidRPr="006D2219" w:rsidRDefault="00E63AFD" w:rsidP="00E63AFD">
            <w:pPr>
              <w:widowControl/>
              <w:jc w:val="center"/>
              <w:rPr>
                <w:rFonts w:ascii="Calibri" w:hAnsi="Calibri" w:cs="宋体"/>
                <w:b/>
                <w:bCs/>
                <w:color w:val="000000"/>
                <w:kern w:val="0"/>
                <w:sz w:val="18"/>
                <w:szCs w:val="18"/>
              </w:rPr>
            </w:pPr>
            <w:r>
              <w:rPr>
                <w:rFonts w:ascii="Calibri" w:hAnsi="Calibri" w:cs="宋体" w:hint="eastAsia"/>
                <w:b/>
                <w:bCs/>
                <w:color w:val="000000"/>
                <w:kern w:val="0"/>
                <w:sz w:val="18"/>
                <w:szCs w:val="18"/>
              </w:rPr>
              <w:t>项目</w:t>
            </w:r>
          </w:p>
        </w:tc>
        <w:tc>
          <w:tcPr>
            <w:tcW w:w="2447"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E63AFD" w:rsidRPr="006D2219" w:rsidRDefault="00E63AFD" w:rsidP="00A26DA4">
            <w:pPr>
              <w:widowControl/>
              <w:jc w:val="center"/>
              <w:rPr>
                <w:rFonts w:ascii="Calibri" w:hAnsi="Calibri" w:cs="宋体"/>
                <w:b/>
                <w:bCs/>
                <w:color w:val="000000"/>
                <w:kern w:val="0"/>
                <w:sz w:val="18"/>
                <w:szCs w:val="18"/>
              </w:rPr>
            </w:pPr>
            <w:r w:rsidRPr="006D2219">
              <w:rPr>
                <w:rFonts w:ascii="Calibri" w:hAnsi="Calibri" w:cs="宋体" w:hint="eastAsia"/>
                <w:b/>
                <w:bCs/>
                <w:color w:val="000000"/>
                <w:kern w:val="0"/>
                <w:sz w:val="18"/>
                <w:szCs w:val="18"/>
              </w:rPr>
              <w:t>模块</w:t>
            </w:r>
          </w:p>
        </w:tc>
        <w:tc>
          <w:tcPr>
            <w:tcW w:w="5387" w:type="dxa"/>
            <w:tcBorders>
              <w:top w:val="single" w:sz="4" w:space="0" w:color="auto"/>
              <w:left w:val="nil"/>
              <w:bottom w:val="single" w:sz="4" w:space="0" w:color="auto"/>
              <w:right w:val="single" w:sz="4" w:space="0" w:color="auto"/>
            </w:tcBorders>
            <w:shd w:val="clear" w:color="000000" w:fill="E6E6E6"/>
            <w:vAlign w:val="center"/>
            <w:hideMark/>
          </w:tcPr>
          <w:p w:rsidR="00E63AFD" w:rsidRPr="006D2219" w:rsidRDefault="00E63AFD" w:rsidP="00A26DA4">
            <w:pPr>
              <w:widowControl/>
              <w:jc w:val="center"/>
              <w:rPr>
                <w:rFonts w:ascii="Calibri" w:hAnsi="Calibri" w:cs="宋体"/>
                <w:b/>
                <w:bCs/>
                <w:color w:val="000000"/>
                <w:kern w:val="0"/>
                <w:sz w:val="18"/>
                <w:szCs w:val="18"/>
              </w:rPr>
            </w:pPr>
            <w:r>
              <w:rPr>
                <w:rFonts w:ascii="Calibri" w:hAnsi="Calibri" w:cs="宋体" w:hint="eastAsia"/>
                <w:b/>
                <w:bCs/>
                <w:color w:val="000000"/>
                <w:kern w:val="0"/>
                <w:sz w:val="18"/>
                <w:szCs w:val="18"/>
              </w:rPr>
              <w:t>功能说明</w:t>
            </w:r>
          </w:p>
        </w:tc>
      </w:tr>
      <w:tr w:rsidR="00E63AFD" w:rsidRPr="006D2219" w:rsidTr="00E63AFD">
        <w:trPr>
          <w:trHeight w:val="33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AFD" w:rsidRPr="006D2219" w:rsidRDefault="00E63AFD" w:rsidP="00A26DA4">
            <w:pPr>
              <w:widowControl/>
              <w:jc w:val="center"/>
              <w:rPr>
                <w:rFonts w:ascii="Calibri" w:hAnsi="Calibri" w:cs="宋体"/>
                <w:color w:val="000000"/>
                <w:kern w:val="0"/>
                <w:sz w:val="18"/>
                <w:szCs w:val="18"/>
              </w:rPr>
            </w:pPr>
            <w:r w:rsidRPr="006D2219">
              <w:rPr>
                <w:rFonts w:ascii="Calibri" w:hAnsi="Calibri" w:cs="宋体"/>
                <w:color w:val="000000"/>
                <w:kern w:val="0"/>
                <w:sz w:val="18"/>
                <w:szCs w:val="18"/>
              </w:rPr>
              <w:t>1</w:t>
            </w:r>
          </w:p>
        </w:tc>
        <w:tc>
          <w:tcPr>
            <w:tcW w:w="1313" w:type="dxa"/>
            <w:vMerge w:val="restart"/>
            <w:tcBorders>
              <w:top w:val="single" w:sz="4" w:space="0" w:color="auto"/>
              <w:left w:val="nil"/>
              <w:right w:val="single" w:sz="4" w:space="0" w:color="auto"/>
            </w:tcBorders>
            <w:vAlign w:val="center"/>
          </w:tcPr>
          <w:p w:rsidR="00E63AFD" w:rsidRPr="006D2219" w:rsidRDefault="00E63AFD" w:rsidP="00E63AFD">
            <w:pPr>
              <w:widowControl/>
              <w:jc w:val="center"/>
              <w:rPr>
                <w:rFonts w:ascii="Calibri" w:hAnsi="Calibri" w:cs="宋体"/>
                <w:bCs/>
                <w:color w:val="000000"/>
                <w:kern w:val="0"/>
                <w:sz w:val="18"/>
                <w:szCs w:val="18"/>
              </w:rPr>
            </w:pPr>
            <w:r>
              <w:rPr>
                <w:rFonts w:ascii="Calibri" w:hAnsi="Calibri" w:cs="宋体" w:hint="eastAsia"/>
                <w:bCs/>
                <w:color w:val="000000"/>
                <w:kern w:val="0"/>
                <w:sz w:val="18"/>
                <w:szCs w:val="18"/>
              </w:rPr>
              <w:t>内控管理系统</w:t>
            </w:r>
          </w:p>
        </w:tc>
        <w:tc>
          <w:tcPr>
            <w:tcW w:w="2447" w:type="dxa"/>
            <w:tcBorders>
              <w:top w:val="nil"/>
              <w:left w:val="single" w:sz="4" w:space="0" w:color="auto"/>
              <w:bottom w:val="single" w:sz="4" w:space="0" w:color="auto"/>
              <w:right w:val="single" w:sz="4" w:space="0" w:color="auto"/>
            </w:tcBorders>
            <w:shd w:val="clear" w:color="000000" w:fill="FFFFFF"/>
            <w:vAlign w:val="center"/>
            <w:hideMark/>
          </w:tcPr>
          <w:p w:rsidR="00E63AFD" w:rsidRPr="006D2219" w:rsidRDefault="00E63AFD" w:rsidP="00A26DA4">
            <w:pPr>
              <w:widowControl/>
              <w:jc w:val="center"/>
              <w:rPr>
                <w:rFonts w:ascii="Calibri" w:hAnsi="Calibri" w:cs="宋体"/>
                <w:bCs/>
                <w:color w:val="000000"/>
                <w:kern w:val="0"/>
                <w:sz w:val="18"/>
                <w:szCs w:val="18"/>
              </w:rPr>
            </w:pPr>
            <w:r w:rsidRPr="006D2219">
              <w:rPr>
                <w:rFonts w:ascii="Calibri" w:hAnsi="Calibri" w:cs="宋体" w:hint="eastAsia"/>
                <w:bCs/>
                <w:color w:val="000000"/>
                <w:kern w:val="0"/>
                <w:sz w:val="18"/>
                <w:szCs w:val="18"/>
              </w:rPr>
              <w:t>基础平台</w:t>
            </w:r>
          </w:p>
        </w:tc>
        <w:tc>
          <w:tcPr>
            <w:tcW w:w="5387" w:type="dxa"/>
            <w:tcBorders>
              <w:top w:val="nil"/>
              <w:left w:val="single" w:sz="4" w:space="0" w:color="auto"/>
              <w:bottom w:val="single" w:sz="4" w:space="0" w:color="auto"/>
              <w:right w:val="single" w:sz="4" w:space="0" w:color="auto"/>
            </w:tcBorders>
            <w:shd w:val="clear" w:color="auto" w:fill="auto"/>
            <w:noWrap/>
            <w:vAlign w:val="center"/>
            <w:hideMark/>
          </w:tcPr>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hint="eastAsia"/>
                <w:color w:val="000000"/>
                <w:kern w:val="0"/>
                <w:sz w:val="18"/>
                <w:szCs w:val="18"/>
              </w:rPr>
              <w:t>实现医院内控制度、执行程序、管控措施的基础信息配置管理</w:t>
            </w:r>
          </w:p>
        </w:tc>
      </w:tr>
      <w:tr w:rsidR="00E63AFD" w:rsidRPr="006D2219" w:rsidTr="0077185F">
        <w:trPr>
          <w:trHeight w:val="330"/>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AFD" w:rsidRPr="006D2219" w:rsidRDefault="00E63AFD" w:rsidP="00A26DA4">
            <w:pPr>
              <w:widowControl/>
              <w:jc w:val="center"/>
              <w:rPr>
                <w:rFonts w:ascii="Calibri" w:hAnsi="Calibri" w:cs="宋体"/>
                <w:color w:val="000000"/>
                <w:kern w:val="0"/>
                <w:sz w:val="18"/>
                <w:szCs w:val="18"/>
              </w:rPr>
            </w:pPr>
            <w:r w:rsidRPr="006D2219">
              <w:rPr>
                <w:rFonts w:ascii="Calibri" w:hAnsi="Calibri" w:cs="宋体"/>
                <w:color w:val="000000"/>
                <w:kern w:val="0"/>
                <w:sz w:val="18"/>
                <w:szCs w:val="18"/>
              </w:rPr>
              <w:t>2</w:t>
            </w:r>
          </w:p>
        </w:tc>
        <w:tc>
          <w:tcPr>
            <w:tcW w:w="1313" w:type="dxa"/>
            <w:vMerge/>
            <w:tcBorders>
              <w:left w:val="nil"/>
              <w:right w:val="single" w:sz="4" w:space="0" w:color="auto"/>
            </w:tcBorders>
          </w:tcPr>
          <w:p w:rsidR="00E63AFD" w:rsidRPr="006D2219" w:rsidRDefault="00E63AFD" w:rsidP="00A26DA4">
            <w:pPr>
              <w:widowControl/>
              <w:jc w:val="center"/>
              <w:rPr>
                <w:rFonts w:ascii="Calibri" w:hAnsi="Calibri" w:cs="宋体"/>
                <w:bCs/>
                <w:color w:val="000000"/>
                <w:kern w:val="0"/>
                <w:sz w:val="18"/>
                <w:szCs w:val="18"/>
              </w:rPr>
            </w:pPr>
          </w:p>
        </w:tc>
        <w:tc>
          <w:tcPr>
            <w:tcW w:w="2447" w:type="dxa"/>
            <w:tcBorders>
              <w:top w:val="nil"/>
              <w:left w:val="single" w:sz="4" w:space="0" w:color="auto"/>
              <w:bottom w:val="single" w:sz="4" w:space="0" w:color="auto"/>
              <w:right w:val="single" w:sz="4" w:space="0" w:color="auto"/>
            </w:tcBorders>
            <w:shd w:val="clear" w:color="000000" w:fill="FFFFFF"/>
            <w:vAlign w:val="center"/>
          </w:tcPr>
          <w:p w:rsidR="00E63AFD" w:rsidRPr="006D2219" w:rsidRDefault="00E63AFD" w:rsidP="00A26DA4">
            <w:pPr>
              <w:widowControl/>
              <w:jc w:val="center"/>
              <w:rPr>
                <w:rFonts w:ascii="Calibri" w:hAnsi="Calibri" w:cs="宋体"/>
                <w:bCs/>
                <w:color w:val="000000"/>
                <w:kern w:val="0"/>
                <w:sz w:val="18"/>
                <w:szCs w:val="18"/>
              </w:rPr>
            </w:pPr>
            <w:r w:rsidRPr="006D2219">
              <w:rPr>
                <w:rFonts w:ascii="Calibri" w:hAnsi="Calibri" w:cs="宋体" w:hint="eastAsia"/>
                <w:bCs/>
                <w:color w:val="000000"/>
                <w:kern w:val="0"/>
                <w:sz w:val="18"/>
                <w:szCs w:val="18"/>
              </w:rPr>
              <w:t>预算编制管理</w:t>
            </w:r>
          </w:p>
          <w:p w:rsidR="00E63AFD" w:rsidRPr="006D2219" w:rsidRDefault="00E63AFD" w:rsidP="00A26DA4">
            <w:pPr>
              <w:widowControl/>
              <w:jc w:val="center"/>
              <w:rPr>
                <w:rFonts w:ascii="Calibri" w:hAnsi="Calibri" w:cs="宋体"/>
                <w:bCs/>
                <w:color w:val="000000"/>
                <w:kern w:val="0"/>
                <w:sz w:val="18"/>
                <w:szCs w:val="18"/>
              </w:rPr>
            </w:pPr>
            <w:r w:rsidRPr="006D2219">
              <w:rPr>
                <w:rFonts w:ascii="Calibri" w:hAnsi="Calibri" w:cs="宋体" w:hint="eastAsia"/>
                <w:bCs/>
                <w:color w:val="000000"/>
                <w:kern w:val="0"/>
                <w:sz w:val="18"/>
                <w:szCs w:val="18"/>
              </w:rPr>
              <w:t>（含项目库、预算指标管理）</w:t>
            </w: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color w:val="000000"/>
                <w:kern w:val="0"/>
                <w:sz w:val="18"/>
                <w:szCs w:val="18"/>
              </w:rPr>
              <w:t>1.</w:t>
            </w:r>
            <w:r w:rsidRPr="006D2219">
              <w:rPr>
                <w:rFonts w:ascii="Calibri" w:hAnsi="Calibri" w:cs="宋体" w:hint="eastAsia"/>
                <w:color w:val="000000"/>
                <w:kern w:val="0"/>
                <w:sz w:val="18"/>
                <w:szCs w:val="18"/>
              </w:rPr>
              <w:t>项目库包括实现项目基础信息管理、项目申报及审批、项目绩效评价、项目结项终止功能，对各类项目统筹管理，满足单位对项目全生命周期、全过程管理。项目信息、执行情况随时可查，预算编制时可直接调取入库项目信息，做实项目预算、提高预算编报的及时性和准确性。</w:t>
            </w:r>
          </w:p>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hint="eastAsia"/>
                <w:color w:val="000000"/>
                <w:kern w:val="0"/>
                <w:sz w:val="18"/>
                <w:szCs w:val="18"/>
              </w:rPr>
              <w:t>2</w:t>
            </w:r>
            <w:r w:rsidRPr="006D2219">
              <w:rPr>
                <w:rFonts w:ascii="Calibri" w:hAnsi="Calibri" w:cs="宋体"/>
                <w:color w:val="000000"/>
                <w:kern w:val="0"/>
                <w:sz w:val="18"/>
                <w:szCs w:val="18"/>
              </w:rPr>
              <w:t>.</w:t>
            </w:r>
            <w:r w:rsidRPr="006D2219">
              <w:rPr>
                <w:rFonts w:ascii="Calibri" w:hAnsi="Calibri" w:cs="宋体" w:hint="eastAsia"/>
                <w:color w:val="000000"/>
                <w:kern w:val="0"/>
                <w:sz w:val="18"/>
                <w:szCs w:val="18"/>
              </w:rPr>
              <w:t>预算编制支持自下而上、自上而下、二上二下等多种的预算编制模式。支持预算编制的全员参与，各部门预算管理员基于部门业务工作需要来做预算编制，保证预算执行力。同时支持职能（归口）部门参与预算编制和审核，建立起严密的预算审核和管理机制。预算对象最终将落实到每个职能部门和管理部门，实现所有部门的预算管理。在编制过程中，系统提供预算编制所需的各类历史数据信息，作为预算编制的参考依据。</w:t>
            </w:r>
          </w:p>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color w:val="000000"/>
                <w:kern w:val="0"/>
                <w:sz w:val="18"/>
                <w:szCs w:val="18"/>
              </w:rPr>
              <w:t>3.</w:t>
            </w:r>
            <w:r w:rsidRPr="006D2219">
              <w:rPr>
                <w:rFonts w:ascii="Calibri" w:hAnsi="Calibri" w:cs="宋体" w:hint="eastAsia"/>
                <w:color w:val="000000"/>
                <w:kern w:val="0"/>
                <w:sz w:val="18"/>
                <w:szCs w:val="18"/>
              </w:rPr>
              <w:t>预算指标包括财政预算批复、内部预算批复、预算指标发布、预算指标控制和预算指标调整等功能。指标管理系统与预算编审系统紧密结合，解决预算编制和执行两层皮问题。实现单位内部预算批复的预算指标管理，可以分解下达到不同科室，同时提供预算执行方式。根据预算管理者的实际情况，针对内部批复的预算指标进行发布，可以进行多次发布，也可以一次性进行发布，只有发布出去的预算指标才能进行经费申请或经费报销。</w:t>
            </w:r>
          </w:p>
        </w:tc>
      </w:tr>
      <w:tr w:rsidR="00E63AFD" w:rsidRPr="006D2219" w:rsidTr="0077185F">
        <w:trPr>
          <w:trHeight w:val="33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AFD" w:rsidRPr="006D2219" w:rsidRDefault="00E63AFD" w:rsidP="00A26DA4">
            <w:pPr>
              <w:widowControl/>
              <w:jc w:val="center"/>
              <w:rPr>
                <w:rFonts w:ascii="Calibri" w:hAnsi="Calibri" w:cs="宋体"/>
                <w:color w:val="000000"/>
                <w:kern w:val="0"/>
                <w:sz w:val="18"/>
                <w:szCs w:val="18"/>
              </w:rPr>
            </w:pPr>
            <w:r w:rsidRPr="006D2219">
              <w:rPr>
                <w:rFonts w:ascii="Calibri" w:hAnsi="Calibri" w:cs="宋体"/>
                <w:color w:val="000000"/>
                <w:kern w:val="0"/>
                <w:sz w:val="18"/>
                <w:szCs w:val="18"/>
              </w:rPr>
              <w:t>3</w:t>
            </w:r>
          </w:p>
        </w:tc>
        <w:tc>
          <w:tcPr>
            <w:tcW w:w="1313" w:type="dxa"/>
            <w:vMerge/>
            <w:tcBorders>
              <w:left w:val="nil"/>
              <w:right w:val="single" w:sz="4" w:space="0" w:color="auto"/>
            </w:tcBorders>
          </w:tcPr>
          <w:p w:rsidR="00E63AFD" w:rsidRPr="006D2219" w:rsidRDefault="00E63AFD" w:rsidP="00A26DA4">
            <w:pPr>
              <w:widowControl/>
              <w:jc w:val="center"/>
              <w:rPr>
                <w:rFonts w:ascii="Calibri" w:hAnsi="Calibri" w:cs="宋体"/>
                <w:bCs/>
                <w:color w:val="000000"/>
                <w:kern w:val="0"/>
                <w:sz w:val="18"/>
                <w:szCs w:val="18"/>
              </w:rPr>
            </w:pPr>
          </w:p>
        </w:tc>
        <w:tc>
          <w:tcPr>
            <w:tcW w:w="2447" w:type="dxa"/>
            <w:tcBorders>
              <w:top w:val="nil"/>
              <w:left w:val="single" w:sz="4" w:space="0" w:color="auto"/>
              <w:bottom w:val="single" w:sz="4" w:space="0" w:color="auto"/>
              <w:right w:val="single" w:sz="4" w:space="0" w:color="auto"/>
            </w:tcBorders>
            <w:shd w:val="clear" w:color="000000" w:fill="FFFFFF"/>
            <w:vAlign w:val="center"/>
            <w:hideMark/>
          </w:tcPr>
          <w:p w:rsidR="00E63AFD" w:rsidRPr="006D2219" w:rsidRDefault="00E63AFD" w:rsidP="00A26DA4">
            <w:pPr>
              <w:widowControl/>
              <w:jc w:val="center"/>
              <w:rPr>
                <w:rFonts w:ascii="Calibri" w:hAnsi="Calibri" w:cs="宋体"/>
                <w:bCs/>
                <w:color w:val="000000"/>
                <w:kern w:val="0"/>
                <w:sz w:val="18"/>
                <w:szCs w:val="18"/>
              </w:rPr>
            </w:pPr>
            <w:r w:rsidRPr="006D2219">
              <w:rPr>
                <w:rFonts w:ascii="Calibri" w:hAnsi="Calibri" w:cs="宋体" w:hint="eastAsia"/>
                <w:bCs/>
                <w:color w:val="000000"/>
                <w:kern w:val="0"/>
                <w:sz w:val="18"/>
                <w:szCs w:val="18"/>
              </w:rPr>
              <w:t>支出管理</w:t>
            </w:r>
          </w:p>
        </w:tc>
        <w:tc>
          <w:tcPr>
            <w:tcW w:w="5387" w:type="dxa"/>
            <w:tcBorders>
              <w:top w:val="nil"/>
              <w:left w:val="single" w:sz="4" w:space="0" w:color="auto"/>
              <w:bottom w:val="single" w:sz="4" w:space="0" w:color="auto"/>
              <w:right w:val="single" w:sz="4" w:space="0" w:color="auto"/>
            </w:tcBorders>
            <w:shd w:val="clear" w:color="auto" w:fill="auto"/>
            <w:noWrap/>
            <w:vAlign w:val="center"/>
            <w:hideMark/>
          </w:tcPr>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hint="eastAsia"/>
                <w:color w:val="000000"/>
                <w:kern w:val="0"/>
                <w:sz w:val="18"/>
                <w:szCs w:val="18"/>
              </w:rPr>
              <w:t>单位的经济活动的起点都在于预算管理。无预算不支出，即预算是开展经济活动的基础，因此所有的支出均需关联预算指标才能支出。系统基于工作流的支出控制设计理念，推进预算管理日常化。确保预算编制、执行、控制、分析、反馈、决策的全面落实。将内控思想、制衡机制融入到单位的各个业务层面经济运行的每一个环节的应用上，让内部控制有效落地，主要提供重点经费及一般经费事前申请、因公借款申请、费用报销申请、资金支付受理以及财务核算登记等功能，用于单位各科室线上办理经费申请，实现经费支出全过程的信息化管控，做到无预算不支出、统一重点经费管理、支出范围和标准控制、审批程序和权限控制、原始凭证规范管理等要求，能够动态分析和查询经费支出情况。</w:t>
            </w:r>
          </w:p>
        </w:tc>
      </w:tr>
      <w:tr w:rsidR="00E63AFD" w:rsidRPr="006D2219" w:rsidTr="0077185F">
        <w:trPr>
          <w:trHeight w:val="330"/>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AFD" w:rsidRPr="006D2219" w:rsidRDefault="00E63AFD" w:rsidP="00A26DA4">
            <w:pPr>
              <w:spacing w:before="240" w:after="240"/>
              <w:jc w:val="center"/>
              <w:rPr>
                <w:rFonts w:ascii="Tahoma" w:hAnsi="Tahoma"/>
                <w:sz w:val="20"/>
                <w:szCs w:val="22"/>
              </w:rPr>
            </w:pPr>
            <w:r w:rsidRPr="006D2219">
              <w:rPr>
                <w:rFonts w:ascii="Tahoma" w:hAnsi="Tahoma" w:hint="eastAsia"/>
                <w:sz w:val="20"/>
                <w:szCs w:val="22"/>
              </w:rPr>
              <w:t>4</w:t>
            </w:r>
          </w:p>
        </w:tc>
        <w:tc>
          <w:tcPr>
            <w:tcW w:w="1313" w:type="dxa"/>
            <w:vMerge/>
            <w:tcBorders>
              <w:left w:val="nil"/>
              <w:right w:val="single" w:sz="4" w:space="0" w:color="auto"/>
            </w:tcBorders>
          </w:tcPr>
          <w:p w:rsidR="00E63AFD" w:rsidRPr="006D2219" w:rsidRDefault="00E63AFD" w:rsidP="00A26DA4">
            <w:pPr>
              <w:widowControl/>
              <w:jc w:val="center"/>
              <w:rPr>
                <w:rFonts w:ascii="Calibri" w:hAnsi="Calibri" w:cs="宋体"/>
                <w:bCs/>
                <w:color w:val="000000"/>
                <w:kern w:val="0"/>
                <w:sz w:val="18"/>
                <w:szCs w:val="18"/>
              </w:rPr>
            </w:pPr>
          </w:p>
        </w:tc>
        <w:tc>
          <w:tcPr>
            <w:tcW w:w="2447" w:type="dxa"/>
            <w:tcBorders>
              <w:top w:val="nil"/>
              <w:left w:val="single" w:sz="4" w:space="0" w:color="auto"/>
              <w:bottom w:val="single" w:sz="4" w:space="0" w:color="auto"/>
              <w:right w:val="single" w:sz="4" w:space="0" w:color="auto"/>
            </w:tcBorders>
            <w:shd w:val="clear" w:color="000000" w:fill="FFFFFF"/>
            <w:vAlign w:val="center"/>
          </w:tcPr>
          <w:p w:rsidR="00E63AFD" w:rsidRPr="006D2219" w:rsidRDefault="00E63AFD" w:rsidP="00A26DA4">
            <w:pPr>
              <w:widowControl/>
              <w:jc w:val="center"/>
              <w:rPr>
                <w:rFonts w:ascii="Calibri" w:hAnsi="Calibri" w:cs="宋体"/>
                <w:bCs/>
                <w:color w:val="000000"/>
                <w:kern w:val="0"/>
                <w:sz w:val="18"/>
                <w:szCs w:val="18"/>
              </w:rPr>
            </w:pPr>
            <w:r w:rsidRPr="006D2219">
              <w:rPr>
                <w:rFonts w:ascii="Calibri" w:hAnsi="Calibri" w:cs="宋体" w:hint="eastAsia"/>
                <w:bCs/>
                <w:color w:val="000000"/>
                <w:kern w:val="0"/>
                <w:sz w:val="18"/>
                <w:szCs w:val="18"/>
              </w:rPr>
              <w:t>采购管理</w:t>
            </w: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hint="eastAsia"/>
                <w:color w:val="000000"/>
                <w:kern w:val="0"/>
                <w:sz w:val="18"/>
                <w:szCs w:val="18"/>
              </w:rPr>
              <w:t>采购管理系统是单位采购活动的计划、组织、指挥、协调和控制的工具，实现与其他功能模块的无缝连接。实现无预算不采购的管控，进行采购需要有预算；采购项目签订合同后即可转入合同管理模块进行管理。</w:t>
            </w:r>
          </w:p>
          <w:p w:rsidR="00E63AFD" w:rsidRPr="006D2219" w:rsidRDefault="00E63AFD" w:rsidP="00A26DA4">
            <w:pPr>
              <w:spacing w:before="240" w:after="240"/>
              <w:rPr>
                <w:rFonts w:ascii="Tahoma" w:hAnsi="Tahoma"/>
                <w:sz w:val="20"/>
                <w:szCs w:val="22"/>
              </w:rPr>
            </w:pPr>
            <w:r w:rsidRPr="006D2219">
              <w:rPr>
                <w:rFonts w:ascii="Tahoma" w:hAnsi="Tahoma" w:hint="eastAsia"/>
                <w:sz w:val="20"/>
                <w:szCs w:val="22"/>
              </w:rPr>
              <w:t>主要功能包括：</w:t>
            </w:r>
            <w:r w:rsidRPr="006D2219">
              <w:rPr>
                <w:rFonts w:ascii="Tahoma" w:hAnsi="Tahoma" w:hint="eastAsia"/>
                <w:sz w:val="20"/>
                <w:szCs w:val="22"/>
              </w:rPr>
              <w:t>1</w:t>
            </w:r>
            <w:r w:rsidRPr="006D2219">
              <w:rPr>
                <w:rFonts w:ascii="Tahoma" w:hAnsi="Tahoma" w:hint="eastAsia"/>
                <w:sz w:val="20"/>
                <w:szCs w:val="22"/>
              </w:rPr>
              <w:t>、采购基础资料管理：包括采购目录信息、供应商信息等；</w:t>
            </w:r>
            <w:r w:rsidRPr="006D2219">
              <w:rPr>
                <w:rFonts w:ascii="Tahoma" w:hAnsi="Tahoma" w:hint="eastAsia"/>
                <w:sz w:val="20"/>
                <w:szCs w:val="22"/>
              </w:rPr>
              <w:t>2</w:t>
            </w:r>
            <w:r w:rsidRPr="006D2219">
              <w:rPr>
                <w:rFonts w:ascii="Tahoma" w:hAnsi="Tahoma" w:hint="eastAsia"/>
                <w:sz w:val="20"/>
                <w:szCs w:val="22"/>
              </w:rPr>
              <w:t>、采购项目立项申报管理：用于线上填报、受理、审批采购立项申请，实现采购立项申请的线上流转，</w:t>
            </w:r>
            <w:r w:rsidRPr="006D2219">
              <w:rPr>
                <w:rFonts w:ascii="Tahoma" w:hAnsi="Tahoma" w:hint="eastAsia"/>
                <w:sz w:val="20"/>
                <w:szCs w:val="22"/>
              </w:rPr>
              <w:lastRenderedPageBreak/>
              <w:t>采购立项时关联预算信息，受预算管控；</w:t>
            </w:r>
            <w:r w:rsidRPr="006D2219">
              <w:rPr>
                <w:rFonts w:ascii="Tahoma" w:hAnsi="Tahoma" w:hint="eastAsia"/>
                <w:sz w:val="20"/>
                <w:szCs w:val="22"/>
              </w:rPr>
              <w:t>3</w:t>
            </w:r>
            <w:r w:rsidRPr="006D2219">
              <w:rPr>
                <w:rFonts w:ascii="Tahoma" w:hAnsi="Tahoma" w:hint="eastAsia"/>
                <w:sz w:val="20"/>
                <w:szCs w:val="22"/>
              </w:rPr>
              <w:t>、采购过程管理：包括招标文件管理、招标公告管理、采购结果登记、以及非招标的采购过程管理等；</w:t>
            </w:r>
            <w:r w:rsidRPr="006D2219">
              <w:rPr>
                <w:rFonts w:ascii="Tahoma" w:hAnsi="Tahoma" w:hint="eastAsia"/>
                <w:sz w:val="20"/>
                <w:szCs w:val="22"/>
              </w:rPr>
              <w:t>4</w:t>
            </w:r>
            <w:r w:rsidRPr="006D2219">
              <w:rPr>
                <w:rFonts w:ascii="Tahoma" w:hAnsi="Tahoma" w:hint="eastAsia"/>
                <w:sz w:val="20"/>
                <w:szCs w:val="22"/>
              </w:rPr>
              <w:t>、采购信息统计：针对采购项目执行过程各项信息统计。</w:t>
            </w:r>
          </w:p>
        </w:tc>
      </w:tr>
      <w:tr w:rsidR="00E63AFD" w:rsidRPr="006D2219" w:rsidTr="0077185F">
        <w:trPr>
          <w:trHeight w:val="33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AFD" w:rsidRPr="006D2219" w:rsidRDefault="00E63AFD" w:rsidP="00A26DA4">
            <w:pPr>
              <w:widowControl/>
              <w:jc w:val="center"/>
              <w:rPr>
                <w:rFonts w:ascii="Calibri" w:hAnsi="Calibri" w:cs="宋体"/>
                <w:color w:val="000000"/>
                <w:kern w:val="0"/>
                <w:sz w:val="18"/>
                <w:szCs w:val="18"/>
              </w:rPr>
            </w:pPr>
            <w:r w:rsidRPr="006D2219">
              <w:rPr>
                <w:rFonts w:ascii="Calibri" w:hAnsi="Calibri" w:cs="宋体"/>
                <w:color w:val="000000"/>
                <w:kern w:val="0"/>
                <w:sz w:val="18"/>
                <w:szCs w:val="18"/>
              </w:rPr>
              <w:lastRenderedPageBreak/>
              <w:t>5</w:t>
            </w:r>
          </w:p>
        </w:tc>
        <w:tc>
          <w:tcPr>
            <w:tcW w:w="1313" w:type="dxa"/>
            <w:vMerge/>
            <w:tcBorders>
              <w:left w:val="nil"/>
              <w:right w:val="single" w:sz="4" w:space="0" w:color="auto"/>
            </w:tcBorders>
          </w:tcPr>
          <w:p w:rsidR="00E63AFD" w:rsidRPr="006D2219" w:rsidRDefault="00E63AFD" w:rsidP="00A26DA4">
            <w:pPr>
              <w:widowControl/>
              <w:jc w:val="center"/>
              <w:rPr>
                <w:rFonts w:ascii="Calibri" w:hAnsi="Calibri" w:cs="宋体"/>
                <w:bCs/>
                <w:color w:val="000000"/>
                <w:kern w:val="0"/>
                <w:sz w:val="18"/>
                <w:szCs w:val="18"/>
              </w:rPr>
            </w:pPr>
          </w:p>
        </w:tc>
        <w:tc>
          <w:tcPr>
            <w:tcW w:w="2447" w:type="dxa"/>
            <w:tcBorders>
              <w:top w:val="nil"/>
              <w:left w:val="single" w:sz="4" w:space="0" w:color="auto"/>
              <w:bottom w:val="single" w:sz="4" w:space="0" w:color="auto"/>
              <w:right w:val="single" w:sz="4" w:space="0" w:color="auto"/>
            </w:tcBorders>
            <w:shd w:val="clear" w:color="000000" w:fill="FFFFFF"/>
            <w:vAlign w:val="center"/>
            <w:hideMark/>
          </w:tcPr>
          <w:p w:rsidR="00E63AFD" w:rsidRPr="006D2219" w:rsidRDefault="00E63AFD" w:rsidP="00A26DA4">
            <w:pPr>
              <w:widowControl/>
              <w:jc w:val="center"/>
              <w:rPr>
                <w:rFonts w:ascii="Calibri" w:hAnsi="Calibri" w:cs="宋体"/>
                <w:bCs/>
                <w:color w:val="000000"/>
                <w:kern w:val="0"/>
                <w:sz w:val="18"/>
                <w:szCs w:val="18"/>
              </w:rPr>
            </w:pPr>
            <w:r w:rsidRPr="006D2219">
              <w:rPr>
                <w:rFonts w:ascii="Calibri" w:hAnsi="Calibri" w:cs="宋体" w:hint="eastAsia"/>
                <w:bCs/>
                <w:color w:val="000000"/>
                <w:kern w:val="0"/>
                <w:sz w:val="18"/>
                <w:szCs w:val="18"/>
              </w:rPr>
              <w:t>合同管理</w:t>
            </w: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hint="eastAsia"/>
                <w:color w:val="000000"/>
                <w:kern w:val="0"/>
                <w:sz w:val="18"/>
                <w:szCs w:val="18"/>
              </w:rPr>
              <w:t>合同管理，是多数单位最薄弱的环节，合同分散到各个业务部门，缺少归口管理、统一编号、制式合同、专业审核、统一存档，导致合同经济条款、法律条款约束不严，形成经济纠纷时，损耗单位利益；合同分散管理，存在文本保管不善缺失，查找费时费力等问题；合同签订与预算无关联，导致业务部门签完合同再找财务要预算情况频繁发生，造成业务与财务关系紧张；合同执行与支出无关联，导致付款进度与业务完成情况不相符，带来单位经济损失。</w:t>
            </w:r>
          </w:p>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hint="eastAsia"/>
                <w:color w:val="000000"/>
                <w:kern w:val="0"/>
                <w:sz w:val="18"/>
                <w:szCs w:val="18"/>
              </w:rPr>
              <w:t>合同管理系统涵盖合同签订前的预审处理到合同支付全过程的管理：包括不同合同类型（一般合同、科研合同、工程合同、维保合同、收入合同等）统一管理、合同预审、合同备案、制定合同的支付计划、推进和提醒合同计划、合同归档、合同结项、变更、支付、质保金等全过程管理；合同执行阶段匹配支付金额，保障合同付款及时，不冒进、不违约。</w:t>
            </w:r>
          </w:p>
        </w:tc>
      </w:tr>
      <w:tr w:rsidR="00E63AFD" w:rsidRPr="006D2219" w:rsidTr="0077185F">
        <w:trPr>
          <w:trHeight w:val="452"/>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AFD" w:rsidRPr="006D2219" w:rsidRDefault="00E63AFD" w:rsidP="00A26DA4">
            <w:pPr>
              <w:widowControl/>
              <w:jc w:val="center"/>
              <w:rPr>
                <w:rFonts w:ascii="Calibri" w:hAnsi="Calibri" w:cs="宋体"/>
                <w:color w:val="000000"/>
                <w:kern w:val="0"/>
                <w:sz w:val="18"/>
                <w:szCs w:val="18"/>
              </w:rPr>
            </w:pPr>
            <w:r>
              <w:rPr>
                <w:rFonts w:ascii="Calibri" w:hAnsi="Calibri" w:cs="宋体" w:hint="eastAsia"/>
                <w:color w:val="000000"/>
                <w:kern w:val="0"/>
                <w:sz w:val="18"/>
                <w:szCs w:val="18"/>
              </w:rPr>
              <w:t>6</w:t>
            </w:r>
          </w:p>
        </w:tc>
        <w:tc>
          <w:tcPr>
            <w:tcW w:w="1313" w:type="dxa"/>
            <w:vMerge/>
            <w:tcBorders>
              <w:left w:val="nil"/>
              <w:bottom w:val="single" w:sz="4" w:space="0" w:color="auto"/>
              <w:right w:val="single" w:sz="4" w:space="0" w:color="auto"/>
            </w:tcBorders>
          </w:tcPr>
          <w:p w:rsidR="00E63AFD" w:rsidRPr="006D2219" w:rsidRDefault="00E63AFD" w:rsidP="00A26DA4">
            <w:pPr>
              <w:widowControl/>
              <w:jc w:val="center"/>
              <w:rPr>
                <w:rFonts w:ascii="Calibri" w:hAnsi="Calibri" w:cs="宋体"/>
                <w:bCs/>
                <w:color w:val="000000"/>
                <w:kern w:val="0"/>
                <w:sz w:val="18"/>
                <w:szCs w:val="18"/>
              </w:rPr>
            </w:pPr>
          </w:p>
        </w:tc>
        <w:tc>
          <w:tcPr>
            <w:tcW w:w="2447" w:type="dxa"/>
            <w:tcBorders>
              <w:top w:val="nil"/>
              <w:left w:val="single" w:sz="4" w:space="0" w:color="auto"/>
              <w:bottom w:val="single" w:sz="4" w:space="0" w:color="auto"/>
              <w:right w:val="single" w:sz="4" w:space="0" w:color="auto"/>
            </w:tcBorders>
            <w:shd w:val="clear" w:color="000000" w:fill="FFFFFF"/>
            <w:vAlign w:val="center"/>
            <w:hideMark/>
          </w:tcPr>
          <w:p w:rsidR="00E63AFD" w:rsidRPr="006D2219" w:rsidRDefault="00E63AFD" w:rsidP="00A26DA4">
            <w:pPr>
              <w:widowControl/>
              <w:jc w:val="center"/>
              <w:rPr>
                <w:rFonts w:ascii="Calibri" w:hAnsi="Calibri" w:cs="宋体"/>
                <w:bCs/>
                <w:color w:val="000000"/>
                <w:kern w:val="0"/>
                <w:sz w:val="18"/>
                <w:szCs w:val="18"/>
              </w:rPr>
            </w:pPr>
            <w:r w:rsidRPr="006D2219">
              <w:rPr>
                <w:rFonts w:ascii="Calibri" w:hAnsi="Calibri" w:cs="宋体" w:hint="eastAsia"/>
                <w:bCs/>
                <w:color w:val="000000"/>
                <w:kern w:val="0"/>
                <w:sz w:val="18"/>
                <w:szCs w:val="18"/>
              </w:rPr>
              <w:t>数据接口开发</w:t>
            </w:r>
          </w:p>
        </w:tc>
        <w:tc>
          <w:tcPr>
            <w:tcW w:w="5387" w:type="dxa"/>
            <w:tcBorders>
              <w:top w:val="nil"/>
              <w:left w:val="single" w:sz="4" w:space="0" w:color="auto"/>
              <w:bottom w:val="single" w:sz="4" w:space="0" w:color="auto"/>
              <w:right w:val="single" w:sz="4" w:space="0" w:color="auto"/>
            </w:tcBorders>
            <w:shd w:val="clear" w:color="auto" w:fill="auto"/>
            <w:noWrap/>
            <w:vAlign w:val="center"/>
            <w:hideMark/>
          </w:tcPr>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hint="eastAsia"/>
                <w:color w:val="000000"/>
                <w:kern w:val="0"/>
                <w:sz w:val="18"/>
                <w:szCs w:val="18"/>
              </w:rPr>
              <w:t>OA</w:t>
            </w:r>
            <w:r w:rsidRPr="006D2219">
              <w:rPr>
                <w:rFonts w:ascii="Calibri" w:hAnsi="Calibri" w:cs="宋体" w:hint="eastAsia"/>
                <w:color w:val="000000"/>
                <w:kern w:val="0"/>
                <w:sz w:val="18"/>
                <w:szCs w:val="18"/>
              </w:rPr>
              <w:t>单点登录、核算软件对接、移动应用（微信</w:t>
            </w:r>
            <w:r w:rsidRPr="006D2219">
              <w:rPr>
                <w:rFonts w:ascii="Calibri" w:hAnsi="Calibri" w:cs="宋体" w:hint="eastAsia"/>
                <w:color w:val="000000"/>
                <w:kern w:val="0"/>
                <w:sz w:val="18"/>
                <w:szCs w:val="18"/>
              </w:rPr>
              <w:t>/</w:t>
            </w:r>
            <w:r w:rsidRPr="006D2219">
              <w:rPr>
                <w:rFonts w:ascii="Calibri" w:hAnsi="Calibri" w:cs="宋体" w:hint="eastAsia"/>
                <w:color w:val="000000"/>
                <w:kern w:val="0"/>
                <w:sz w:val="18"/>
                <w:szCs w:val="18"/>
              </w:rPr>
              <w:t>钉钉集成）</w:t>
            </w:r>
          </w:p>
        </w:tc>
      </w:tr>
      <w:tr w:rsidR="00E63AFD" w:rsidRPr="006D2219" w:rsidTr="00E63AFD">
        <w:trPr>
          <w:trHeight w:val="452"/>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AFD" w:rsidRDefault="00E63AFD" w:rsidP="00A26DA4">
            <w:pPr>
              <w:widowControl/>
              <w:jc w:val="center"/>
              <w:rPr>
                <w:rFonts w:ascii="Calibri" w:hAnsi="Calibri" w:cs="宋体"/>
                <w:color w:val="000000"/>
                <w:kern w:val="0"/>
                <w:sz w:val="18"/>
                <w:szCs w:val="18"/>
              </w:rPr>
            </w:pPr>
            <w:r>
              <w:rPr>
                <w:rFonts w:ascii="Calibri" w:hAnsi="Calibri" w:cs="宋体" w:hint="eastAsia"/>
                <w:color w:val="000000"/>
                <w:kern w:val="0"/>
                <w:sz w:val="18"/>
                <w:szCs w:val="18"/>
              </w:rPr>
              <w:t>7</w:t>
            </w:r>
          </w:p>
        </w:tc>
        <w:tc>
          <w:tcPr>
            <w:tcW w:w="1313" w:type="dxa"/>
            <w:vMerge w:val="restart"/>
            <w:tcBorders>
              <w:top w:val="single" w:sz="4" w:space="0" w:color="auto"/>
              <w:left w:val="nil"/>
              <w:right w:val="single" w:sz="4" w:space="0" w:color="auto"/>
            </w:tcBorders>
            <w:vAlign w:val="center"/>
          </w:tcPr>
          <w:p w:rsidR="00E63AFD" w:rsidRPr="007F6BFC" w:rsidRDefault="00E63AFD" w:rsidP="00E63AFD">
            <w:pPr>
              <w:widowControl/>
              <w:jc w:val="center"/>
              <w:rPr>
                <w:rFonts w:ascii="Calibri" w:hAnsi="Calibri" w:cs="宋体"/>
                <w:bCs/>
                <w:color w:val="000000"/>
                <w:kern w:val="0"/>
                <w:sz w:val="18"/>
                <w:szCs w:val="18"/>
              </w:rPr>
            </w:pPr>
            <w:r w:rsidRPr="00E63AFD">
              <w:rPr>
                <w:rFonts w:ascii="Calibri" w:hAnsi="Calibri" w:cs="宋体" w:hint="eastAsia"/>
                <w:bCs/>
                <w:color w:val="000000"/>
                <w:kern w:val="0"/>
                <w:sz w:val="18"/>
                <w:szCs w:val="18"/>
              </w:rPr>
              <w:t>实施与服务要求</w:t>
            </w:r>
          </w:p>
        </w:tc>
        <w:tc>
          <w:tcPr>
            <w:tcW w:w="2447" w:type="dxa"/>
            <w:tcBorders>
              <w:top w:val="nil"/>
              <w:left w:val="single" w:sz="4" w:space="0" w:color="auto"/>
              <w:bottom w:val="single" w:sz="4" w:space="0" w:color="auto"/>
              <w:right w:val="single" w:sz="4" w:space="0" w:color="auto"/>
            </w:tcBorders>
            <w:shd w:val="clear" w:color="000000" w:fill="FFFFFF"/>
            <w:vAlign w:val="center"/>
          </w:tcPr>
          <w:p w:rsidR="00E63AFD" w:rsidRPr="007F6BFC" w:rsidRDefault="00E63AFD" w:rsidP="007F6BFC">
            <w:pPr>
              <w:widowControl/>
              <w:jc w:val="center"/>
              <w:rPr>
                <w:rFonts w:ascii="Calibri" w:hAnsi="Calibri" w:cs="宋体"/>
                <w:bCs/>
                <w:color w:val="000000"/>
                <w:kern w:val="0"/>
                <w:sz w:val="18"/>
                <w:szCs w:val="18"/>
              </w:rPr>
            </w:pPr>
            <w:r w:rsidRPr="007F6BFC">
              <w:rPr>
                <w:rFonts w:ascii="Calibri" w:hAnsi="Calibri" w:cs="宋体" w:hint="eastAsia"/>
                <w:bCs/>
                <w:color w:val="000000"/>
                <w:kern w:val="0"/>
                <w:sz w:val="18"/>
                <w:szCs w:val="18"/>
              </w:rPr>
              <w:t>实施工期要求</w:t>
            </w: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E63AFD" w:rsidRPr="004C1219" w:rsidRDefault="00E63AFD" w:rsidP="004C1219">
            <w:pPr>
              <w:jc w:val="left"/>
              <w:rPr>
                <w:rFonts w:ascii="Calibri" w:hAnsi="Calibri" w:cs="宋体"/>
                <w:color w:val="000000"/>
                <w:kern w:val="0"/>
                <w:sz w:val="18"/>
                <w:szCs w:val="18"/>
              </w:rPr>
            </w:pPr>
            <w:r w:rsidRPr="004C1219">
              <w:rPr>
                <w:rFonts w:ascii="Calibri" w:hAnsi="Calibri" w:cs="宋体" w:hint="eastAsia"/>
                <w:color w:val="000000"/>
                <w:kern w:val="0"/>
                <w:sz w:val="18"/>
                <w:szCs w:val="18"/>
              </w:rPr>
              <w:t>合同签订后，</w:t>
            </w:r>
            <w:r w:rsidRPr="004C1219">
              <w:rPr>
                <w:rFonts w:ascii="Calibri" w:hAnsi="Calibri" w:cs="宋体" w:hint="eastAsia"/>
                <w:color w:val="000000"/>
                <w:kern w:val="0"/>
                <w:sz w:val="18"/>
                <w:szCs w:val="18"/>
              </w:rPr>
              <w:t>2</w:t>
            </w:r>
            <w:r w:rsidRPr="004C1219">
              <w:rPr>
                <w:rFonts w:ascii="Calibri" w:hAnsi="Calibri" w:cs="宋体" w:hint="eastAsia"/>
                <w:color w:val="000000"/>
                <w:kern w:val="0"/>
                <w:sz w:val="18"/>
                <w:szCs w:val="18"/>
              </w:rPr>
              <w:t>个月内实施完成。</w:t>
            </w:r>
          </w:p>
        </w:tc>
      </w:tr>
      <w:tr w:rsidR="00E63AFD" w:rsidRPr="006D2219" w:rsidTr="00E63E88">
        <w:trPr>
          <w:trHeight w:val="452"/>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AFD" w:rsidRDefault="00E63AFD" w:rsidP="00A26DA4">
            <w:pPr>
              <w:widowControl/>
              <w:jc w:val="center"/>
              <w:rPr>
                <w:rFonts w:ascii="Calibri" w:hAnsi="Calibri" w:cs="宋体"/>
                <w:color w:val="000000"/>
                <w:kern w:val="0"/>
                <w:sz w:val="18"/>
                <w:szCs w:val="18"/>
              </w:rPr>
            </w:pPr>
            <w:r>
              <w:rPr>
                <w:rFonts w:ascii="Calibri" w:hAnsi="Calibri" w:cs="宋体" w:hint="eastAsia"/>
                <w:color w:val="000000"/>
                <w:kern w:val="0"/>
                <w:sz w:val="18"/>
                <w:szCs w:val="18"/>
              </w:rPr>
              <w:t>8</w:t>
            </w:r>
          </w:p>
        </w:tc>
        <w:tc>
          <w:tcPr>
            <w:tcW w:w="1313" w:type="dxa"/>
            <w:vMerge/>
            <w:tcBorders>
              <w:left w:val="nil"/>
              <w:right w:val="single" w:sz="4" w:space="0" w:color="auto"/>
            </w:tcBorders>
          </w:tcPr>
          <w:p w:rsidR="00E63AFD" w:rsidRPr="007F6BFC" w:rsidRDefault="00E63AFD" w:rsidP="007F6BFC">
            <w:pPr>
              <w:widowControl/>
              <w:jc w:val="center"/>
              <w:rPr>
                <w:rFonts w:ascii="Calibri" w:hAnsi="Calibri" w:cs="宋体"/>
                <w:bCs/>
                <w:color w:val="000000"/>
                <w:kern w:val="0"/>
                <w:sz w:val="18"/>
                <w:szCs w:val="18"/>
              </w:rPr>
            </w:pPr>
          </w:p>
        </w:tc>
        <w:tc>
          <w:tcPr>
            <w:tcW w:w="2447" w:type="dxa"/>
            <w:tcBorders>
              <w:top w:val="nil"/>
              <w:left w:val="single" w:sz="4" w:space="0" w:color="auto"/>
              <w:bottom w:val="single" w:sz="4" w:space="0" w:color="auto"/>
              <w:right w:val="single" w:sz="4" w:space="0" w:color="auto"/>
            </w:tcBorders>
            <w:shd w:val="clear" w:color="000000" w:fill="FFFFFF"/>
            <w:vAlign w:val="center"/>
          </w:tcPr>
          <w:p w:rsidR="00E63AFD" w:rsidRPr="007F6BFC" w:rsidRDefault="00E63AFD" w:rsidP="007F6BFC">
            <w:pPr>
              <w:widowControl/>
              <w:jc w:val="center"/>
              <w:rPr>
                <w:rFonts w:ascii="Calibri" w:hAnsi="Calibri" w:cs="宋体"/>
                <w:bCs/>
                <w:color w:val="000000"/>
                <w:kern w:val="0"/>
                <w:sz w:val="18"/>
                <w:szCs w:val="18"/>
              </w:rPr>
            </w:pPr>
            <w:r w:rsidRPr="007F6BFC">
              <w:rPr>
                <w:rFonts w:ascii="Calibri" w:hAnsi="Calibri" w:cs="宋体" w:hint="eastAsia"/>
                <w:bCs/>
                <w:color w:val="000000"/>
                <w:kern w:val="0"/>
                <w:sz w:val="18"/>
                <w:szCs w:val="18"/>
              </w:rPr>
              <w:t>驻场要求</w:t>
            </w: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E63AFD" w:rsidRPr="004C1219" w:rsidRDefault="00E63AFD" w:rsidP="004C1219">
            <w:pPr>
              <w:jc w:val="left"/>
              <w:rPr>
                <w:rFonts w:ascii="Calibri" w:hAnsi="Calibri" w:cs="宋体"/>
                <w:color w:val="000000"/>
                <w:kern w:val="0"/>
                <w:sz w:val="18"/>
                <w:szCs w:val="18"/>
              </w:rPr>
            </w:pPr>
            <w:r w:rsidRPr="004C1219">
              <w:rPr>
                <w:rFonts w:ascii="Calibri" w:hAnsi="Calibri" w:cs="宋体" w:hint="eastAsia"/>
                <w:color w:val="000000"/>
                <w:kern w:val="0"/>
                <w:sz w:val="18"/>
                <w:szCs w:val="18"/>
              </w:rPr>
              <w:t>合同签订后中标人需立即安排项目组成员驻场进行项目实施，驻场人员需至少提供研发工程师、实施工程师同时进行驻场。</w:t>
            </w:r>
          </w:p>
        </w:tc>
      </w:tr>
      <w:tr w:rsidR="00E63AFD" w:rsidRPr="006D2219" w:rsidTr="00E63E88">
        <w:trPr>
          <w:trHeight w:val="452"/>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AFD" w:rsidRDefault="00E63AFD" w:rsidP="00A26DA4">
            <w:pPr>
              <w:widowControl/>
              <w:jc w:val="center"/>
              <w:rPr>
                <w:rFonts w:ascii="Calibri" w:hAnsi="Calibri" w:cs="宋体"/>
                <w:color w:val="000000"/>
                <w:kern w:val="0"/>
                <w:sz w:val="18"/>
                <w:szCs w:val="18"/>
              </w:rPr>
            </w:pPr>
            <w:r>
              <w:rPr>
                <w:rFonts w:ascii="Calibri" w:hAnsi="Calibri" w:cs="宋体" w:hint="eastAsia"/>
                <w:color w:val="000000"/>
                <w:kern w:val="0"/>
                <w:sz w:val="18"/>
                <w:szCs w:val="18"/>
              </w:rPr>
              <w:t>9</w:t>
            </w:r>
          </w:p>
        </w:tc>
        <w:tc>
          <w:tcPr>
            <w:tcW w:w="1313" w:type="dxa"/>
            <w:vMerge/>
            <w:tcBorders>
              <w:left w:val="nil"/>
              <w:right w:val="single" w:sz="4" w:space="0" w:color="auto"/>
            </w:tcBorders>
          </w:tcPr>
          <w:p w:rsidR="00E63AFD" w:rsidRPr="007F6BFC" w:rsidRDefault="00E63AFD" w:rsidP="007F6BFC">
            <w:pPr>
              <w:widowControl/>
              <w:jc w:val="center"/>
              <w:rPr>
                <w:rFonts w:ascii="Calibri" w:hAnsi="Calibri" w:cs="宋体"/>
                <w:bCs/>
                <w:color w:val="000000"/>
                <w:kern w:val="0"/>
                <w:sz w:val="18"/>
                <w:szCs w:val="18"/>
              </w:rPr>
            </w:pPr>
          </w:p>
        </w:tc>
        <w:tc>
          <w:tcPr>
            <w:tcW w:w="2447" w:type="dxa"/>
            <w:tcBorders>
              <w:top w:val="nil"/>
              <w:left w:val="single" w:sz="4" w:space="0" w:color="auto"/>
              <w:bottom w:val="single" w:sz="4" w:space="0" w:color="auto"/>
              <w:right w:val="single" w:sz="4" w:space="0" w:color="auto"/>
            </w:tcBorders>
            <w:shd w:val="clear" w:color="000000" w:fill="FFFFFF"/>
            <w:vAlign w:val="center"/>
          </w:tcPr>
          <w:p w:rsidR="00E63AFD" w:rsidRPr="007F6BFC" w:rsidRDefault="00E63AFD" w:rsidP="007F6BFC">
            <w:pPr>
              <w:widowControl/>
              <w:jc w:val="center"/>
              <w:rPr>
                <w:rFonts w:ascii="Calibri" w:hAnsi="Calibri" w:cs="宋体"/>
                <w:bCs/>
                <w:color w:val="000000"/>
                <w:kern w:val="0"/>
                <w:sz w:val="18"/>
                <w:szCs w:val="18"/>
              </w:rPr>
            </w:pPr>
            <w:r w:rsidRPr="007F6BFC">
              <w:rPr>
                <w:rFonts w:ascii="Calibri" w:hAnsi="Calibri" w:cs="宋体" w:hint="eastAsia"/>
                <w:bCs/>
                <w:color w:val="000000"/>
                <w:kern w:val="0"/>
                <w:sz w:val="18"/>
                <w:szCs w:val="18"/>
              </w:rPr>
              <w:t>项目负责人要求</w:t>
            </w: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E63AFD" w:rsidRPr="004C1219" w:rsidRDefault="00E63AFD" w:rsidP="004C1219">
            <w:pPr>
              <w:jc w:val="left"/>
              <w:rPr>
                <w:rFonts w:ascii="Calibri" w:hAnsi="Calibri" w:cs="宋体"/>
                <w:color w:val="000000"/>
                <w:kern w:val="0"/>
                <w:sz w:val="18"/>
                <w:szCs w:val="18"/>
              </w:rPr>
            </w:pPr>
            <w:r w:rsidRPr="004C1219">
              <w:rPr>
                <w:rFonts w:ascii="Calibri" w:hAnsi="Calibri" w:cs="宋体" w:hint="eastAsia"/>
                <w:color w:val="000000"/>
                <w:kern w:val="0"/>
                <w:sz w:val="18"/>
                <w:szCs w:val="18"/>
              </w:rPr>
              <w:t>投标人提供的项目负责人须具有</w:t>
            </w:r>
            <w:r w:rsidRPr="004C1219">
              <w:rPr>
                <w:rFonts w:ascii="Calibri" w:hAnsi="Calibri" w:cs="宋体" w:hint="eastAsia"/>
                <w:color w:val="000000"/>
                <w:kern w:val="0"/>
                <w:sz w:val="18"/>
                <w:szCs w:val="18"/>
              </w:rPr>
              <w:t>3</w:t>
            </w:r>
            <w:r w:rsidRPr="004C1219">
              <w:rPr>
                <w:rFonts w:ascii="Calibri" w:hAnsi="Calibri" w:cs="宋体" w:hint="eastAsia"/>
                <w:color w:val="000000"/>
                <w:kern w:val="0"/>
                <w:sz w:val="18"/>
                <w:szCs w:val="18"/>
              </w:rPr>
              <w:t>年以上工作经验，且担任过医院同类项目的项目经理或项目负责人职务具备丰富经验和较强的沟通协调能力；具有预见和应对项目风险能力</w:t>
            </w:r>
          </w:p>
        </w:tc>
      </w:tr>
      <w:tr w:rsidR="00E63AFD" w:rsidRPr="006D2219" w:rsidTr="00E63E88">
        <w:trPr>
          <w:trHeight w:val="452"/>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AFD" w:rsidRDefault="00E63AFD" w:rsidP="00A26DA4">
            <w:pPr>
              <w:widowControl/>
              <w:jc w:val="center"/>
              <w:rPr>
                <w:rFonts w:ascii="Calibri" w:hAnsi="Calibri" w:cs="宋体"/>
                <w:color w:val="000000"/>
                <w:kern w:val="0"/>
                <w:sz w:val="18"/>
                <w:szCs w:val="18"/>
              </w:rPr>
            </w:pPr>
            <w:r>
              <w:rPr>
                <w:rFonts w:ascii="Calibri" w:hAnsi="Calibri" w:cs="宋体" w:hint="eastAsia"/>
                <w:color w:val="000000"/>
                <w:kern w:val="0"/>
                <w:sz w:val="18"/>
                <w:szCs w:val="18"/>
              </w:rPr>
              <w:t>10</w:t>
            </w:r>
          </w:p>
        </w:tc>
        <w:tc>
          <w:tcPr>
            <w:tcW w:w="1313" w:type="dxa"/>
            <w:vMerge/>
            <w:tcBorders>
              <w:left w:val="nil"/>
              <w:bottom w:val="single" w:sz="4" w:space="0" w:color="auto"/>
              <w:right w:val="single" w:sz="4" w:space="0" w:color="auto"/>
            </w:tcBorders>
          </w:tcPr>
          <w:p w:rsidR="00E63AFD" w:rsidRPr="007F6BFC" w:rsidRDefault="00E63AFD" w:rsidP="007F6BFC">
            <w:pPr>
              <w:widowControl/>
              <w:jc w:val="center"/>
              <w:rPr>
                <w:rFonts w:ascii="Calibri" w:hAnsi="Calibri" w:cs="宋体"/>
                <w:bCs/>
                <w:color w:val="000000"/>
                <w:kern w:val="0"/>
                <w:sz w:val="18"/>
                <w:szCs w:val="18"/>
              </w:rPr>
            </w:pPr>
          </w:p>
        </w:tc>
        <w:tc>
          <w:tcPr>
            <w:tcW w:w="2447" w:type="dxa"/>
            <w:tcBorders>
              <w:top w:val="nil"/>
              <w:left w:val="single" w:sz="4" w:space="0" w:color="auto"/>
              <w:bottom w:val="single" w:sz="4" w:space="0" w:color="auto"/>
              <w:right w:val="single" w:sz="4" w:space="0" w:color="auto"/>
            </w:tcBorders>
            <w:shd w:val="clear" w:color="000000" w:fill="FFFFFF"/>
            <w:vAlign w:val="center"/>
          </w:tcPr>
          <w:p w:rsidR="00E63AFD" w:rsidRPr="007F6BFC" w:rsidRDefault="00E63AFD" w:rsidP="007F6BFC">
            <w:pPr>
              <w:widowControl/>
              <w:jc w:val="center"/>
              <w:rPr>
                <w:rFonts w:ascii="Calibri" w:hAnsi="Calibri" w:cs="宋体"/>
                <w:bCs/>
                <w:color w:val="000000"/>
                <w:kern w:val="0"/>
                <w:sz w:val="18"/>
                <w:szCs w:val="18"/>
              </w:rPr>
            </w:pPr>
            <w:r w:rsidRPr="007F6BFC">
              <w:rPr>
                <w:rFonts w:ascii="Calibri" w:hAnsi="Calibri" w:cs="宋体" w:hint="eastAsia"/>
                <w:bCs/>
                <w:color w:val="000000"/>
                <w:kern w:val="0"/>
                <w:sz w:val="18"/>
                <w:szCs w:val="18"/>
              </w:rPr>
              <w:t>售后服务</w:t>
            </w: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E63AFD" w:rsidRPr="004C1219" w:rsidRDefault="00E63AFD" w:rsidP="004C1219">
            <w:pPr>
              <w:widowControl/>
              <w:jc w:val="left"/>
              <w:rPr>
                <w:rFonts w:ascii="Calibri" w:hAnsi="Calibri" w:cs="宋体"/>
                <w:color w:val="000000"/>
                <w:kern w:val="0"/>
                <w:sz w:val="18"/>
                <w:szCs w:val="18"/>
              </w:rPr>
            </w:pPr>
            <w:r w:rsidRPr="004C1219">
              <w:rPr>
                <w:rFonts w:ascii="Calibri" w:hAnsi="Calibri" w:cs="宋体" w:hint="eastAsia"/>
                <w:color w:val="000000"/>
                <w:kern w:val="0"/>
                <w:sz w:val="18"/>
                <w:szCs w:val="18"/>
              </w:rPr>
              <w:t>投标人有良好的售后服务能力，并提供从最终验收后开始一年免费服务及软件升级服务，需提供全年</w:t>
            </w:r>
            <w:r w:rsidRPr="004C1219">
              <w:rPr>
                <w:rFonts w:ascii="Calibri" w:hAnsi="Calibri" w:cs="宋体" w:hint="eastAsia"/>
                <w:color w:val="000000"/>
                <w:kern w:val="0"/>
                <w:sz w:val="18"/>
                <w:szCs w:val="18"/>
              </w:rPr>
              <w:t>7</w:t>
            </w:r>
            <w:r w:rsidRPr="004C1219">
              <w:rPr>
                <w:rFonts w:ascii="Calibri" w:hAnsi="Calibri" w:cs="宋体" w:hint="eastAsia"/>
                <w:color w:val="000000"/>
                <w:kern w:val="0"/>
                <w:sz w:val="18"/>
                <w:szCs w:val="18"/>
              </w:rPr>
              <w:t>天</w:t>
            </w:r>
            <w:r w:rsidRPr="004C1219">
              <w:rPr>
                <w:rFonts w:ascii="Calibri" w:hAnsi="Calibri" w:cs="宋体" w:hint="eastAsia"/>
                <w:color w:val="000000"/>
                <w:kern w:val="0"/>
                <w:sz w:val="18"/>
                <w:szCs w:val="18"/>
              </w:rPr>
              <w:t>24</w:t>
            </w:r>
            <w:r w:rsidRPr="004C1219">
              <w:rPr>
                <w:rFonts w:ascii="Calibri" w:hAnsi="Calibri" w:cs="宋体" w:hint="eastAsia"/>
                <w:color w:val="000000"/>
                <w:kern w:val="0"/>
                <w:sz w:val="18"/>
                <w:szCs w:val="18"/>
              </w:rPr>
              <w:t>小时服务（电话、远程或现场），并在接到招标人通知后</w:t>
            </w:r>
            <w:r w:rsidRPr="004C1219">
              <w:rPr>
                <w:rFonts w:ascii="Calibri" w:hAnsi="Calibri" w:cs="宋体" w:hint="eastAsia"/>
                <w:color w:val="000000"/>
                <w:kern w:val="0"/>
                <w:sz w:val="18"/>
                <w:szCs w:val="18"/>
              </w:rPr>
              <w:t>30</w:t>
            </w:r>
            <w:r w:rsidRPr="004C1219">
              <w:rPr>
                <w:rFonts w:ascii="Calibri" w:hAnsi="Calibri" w:cs="宋体" w:hint="eastAsia"/>
                <w:color w:val="000000"/>
                <w:kern w:val="0"/>
                <w:sz w:val="18"/>
                <w:szCs w:val="18"/>
              </w:rPr>
              <w:t>分钟内响应，</w:t>
            </w:r>
            <w:r w:rsidRPr="004C1219">
              <w:rPr>
                <w:rFonts w:ascii="Calibri" w:hAnsi="Calibri" w:cs="宋体" w:hint="eastAsia"/>
                <w:color w:val="000000"/>
                <w:kern w:val="0"/>
                <w:sz w:val="18"/>
                <w:szCs w:val="18"/>
              </w:rPr>
              <w:t>2</w:t>
            </w:r>
            <w:r w:rsidRPr="004C1219">
              <w:rPr>
                <w:rFonts w:ascii="Calibri" w:hAnsi="Calibri" w:cs="宋体" w:hint="eastAsia"/>
                <w:color w:val="000000"/>
                <w:kern w:val="0"/>
                <w:sz w:val="18"/>
                <w:szCs w:val="18"/>
              </w:rPr>
              <w:t>小时内到达现场。项目验收合格后，每年提供不低于</w:t>
            </w:r>
            <w:r w:rsidRPr="004C1219">
              <w:rPr>
                <w:rFonts w:ascii="Calibri" w:hAnsi="Calibri" w:cs="宋体" w:hint="eastAsia"/>
                <w:color w:val="000000"/>
                <w:kern w:val="0"/>
                <w:sz w:val="18"/>
                <w:szCs w:val="18"/>
              </w:rPr>
              <w:t>4</w:t>
            </w:r>
            <w:r w:rsidRPr="004C1219">
              <w:rPr>
                <w:rFonts w:ascii="Calibri" w:hAnsi="Calibri" w:cs="宋体" w:hint="eastAsia"/>
                <w:color w:val="000000"/>
                <w:kern w:val="0"/>
                <w:sz w:val="18"/>
                <w:szCs w:val="18"/>
              </w:rPr>
              <w:t>次的例行维护及巡检。例行维护内容包括：软件的功能增强性维护等应用软件系统扩充升级（其中包括系统维护、跟踪检测），保证投标方所开发的软件正常运行；硬件的现场巡检、调整优化，并对设备进行保养和正常维护并提交维护报告等</w:t>
            </w:r>
          </w:p>
        </w:tc>
      </w:tr>
    </w:tbl>
    <w:p w:rsidR="0092752C" w:rsidRDefault="0092752C"/>
    <w:sectPr w:rsidR="0092752C" w:rsidSect="00B119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E18" w:rsidRDefault="003D5E18" w:rsidP="00CA4B58">
      <w:r>
        <w:separator/>
      </w:r>
    </w:p>
  </w:endnote>
  <w:endnote w:type="continuationSeparator" w:id="1">
    <w:p w:rsidR="003D5E18" w:rsidRDefault="003D5E18" w:rsidP="00CA4B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E18" w:rsidRDefault="003D5E18" w:rsidP="00CA4B58">
      <w:r>
        <w:separator/>
      </w:r>
    </w:p>
  </w:footnote>
  <w:footnote w:type="continuationSeparator" w:id="1">
    <w:p w:rsidR="003D5E18" w:rsidRDefault="003D5E18" w:rsidP="00CA4B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752C"/>
    <w:rsid w:val="002002A0"/>
    <w:rsid w:val="00346F2B"/>
    <w:rsid w:val="003D5E18"/>
    <w:rsid w:val="004C1219"/>
    <w:rsid w:val="005B3995"/>
    <w:rsid w:val="006A5F26"/>
    <w:rsid w:val="00731788"/>
    <w:rsid w:val="00746388"/>
    <w:rsid w:val="007F6BFC"/>
    <w:rsid w:val="00807E04"/>
    <w:rsid w:val="0092752C"/>
    <w:rsid w:val="00B11949"/>
    <w:rsid w:val="00B46009"/>
    <w:rsid w:val="00C57608"/>
    <w:rsid w:val="00CA4B58"/>
    <w:rsid w:val="00E63AFD"/>
    <w:rsid w:val="00FC64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52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4B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4B58"/>
    <w:rPr>
      <w:rFonts w:ascii="Times New Roman" w:eastAsia="宋体" w:hAnsi="Times New Roman" w:cs="Times New Roman"/>
      <w:sz w:val="18"/>
      <w:szCs w:val="18"/>
    </w:rPr>
  </w:style>
  <w:style w:type="paragraph" w:styleId="a4">
    <w:name w:val="footer"/>
    <w:basedOn w:val="a"/>
    <w:link w:val="Char0"/>
    <w:uiPriority w:val="99"/>
    <w:unhideWhenUsed/>
    <w:rsid w:val="00CA4B58"/>
    <w:pPr>
      <w:tabs>
        <w:tab w:val="center" w:pos="4153"/>
        <w:tab w:val="right" w:pos="8306"/>
      </w:tabs>
      <w:snapToGrid w:val="0"/>
      <w:jc w:val="left"/>
    </w:pPr>
    <w:rPr>
      <w:sz w:val="18"/>
      <w:szCs w:val="18"/>
    </w:rPr>
  </w:style>
  <w:style w:type="character" w:customStyle="1" w:styleId="Char0">
    <w:name w:val="页脚 Char"/>
    <w:basedOn w:val="a0"/>
    <w:link w:val="a4"/>
    <w:uiPriority w:val="99"/>
    <w:rsid w:val="00CA4B5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52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4B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4B58"/>
    <w:rPr>
      <w:rFonts w:ascii="Times New Roman" w:eastAsia="宋体" w:hAnsi="Times New Roman" w:cs="Times New Roman"/>
      <w:sz w:val="18"/>
      <w:szCs w:val="18"/>
    </w:rPr>
  </w:style>
  <w:style w:type="paragraph" w:styleId="a4">
    <w:name w:val="footer"/>
    <w:basedOn w:val="a"/>
    <w:link w:val="Char0"/>
    <w:uiPriority w:val="99"/>
    <w:unhideWhenUsed/>
    <w:rsid w:val="00CA4B58"/>
    <w:pPr>
      <w:tabs>
        <w:tab w:val="center" w:pos="4153"/>
        <w:tab w:val="right" w:pos="8306"/>
      </w:tabs>
      <w:snapToGrid w:val="0"/>
      <w:jc w:val="left"/>
    </w:pPr>
    <w:rPr>
      <w:sz w:val="18"/>
      <w:szCs w:val="18"/>
    </w:rPr>
  </w:style>
  <w:style w:type="character" w:customStyle="1" w:styleId="Char0">
    <w:name w:val="页脚 Char"/>
    <w:basedOn w:val="a0"/>
    <w:link w:val="a4"/>
    <w:uiPriority w:val="99"/>
    <w:rsid w:val="00CA4B5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1714</Characters>
  <Application>Microsoft Office Word</Application>
  <DocSecurity>0</DocSecurity>
  <Lines>14</Lines>
  <Paragraphs>4</Paragraphs>
  <ScaleCrop>false</ScaleCrop>
  <Company>Microsoft</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pgyy</cp:lastModifiedBy>
  <cp:revision>2</cp:revision>
  <dcterms:created xsi:type="dcterms:W3CDTF">2023-07-19T06:40:00Z</dcterms:created>
  <dcterms:modified xsi:type="dcterms:W3CDTF">2023-07-19T06:40:00Z</dcterms:modified>
</cp:coreProperties>
</file>