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jc w:val="center"/>
        <w:rPr>
          <w:rFonts w:hint="eastAsia" w:eastAsia="宋体"/>
          <w:b/>
          <w:color w:val="auto"/>
          <w:sz w:val="48"/>
          <w:szCs w:val="48"/>
          <w:lang w:eastAsia="zh-CN"/>
        </w:rPr>
      </w:pPr>
      <w:bookmarkStart w:id="0" w:name="_Toc341086580"/>
      <w:r>
        <w:rPr>
          <w:rFonts w:hint="eastAsia"/>
          <w:b/>
          <w:color w:val="auto"/>
          <w:sz w:val="48"/>
          <w:szCs w:val="48"/>
          <w:lang w:val="en-US" w:eastAsia="zh-CN"/>
        </w:rPr>
        <w:t>LED电子显示屏</w:t>
      </w:r>
    </w:p>
    <w:tbl>
      <w:tblPr>
        <w:tblStyle w:val="13"/>
        <w:tblpPr w:leftFromText="180" w:rightFromText="180" w:vertAnchor="text" w:horzAnchor="page" w:tblpX="708" w:tblpY="1233"/>
        <w:tblOverlap w:val="never"/>
        <w:tblW w:w="9963" w:type="dxa"/>
        <w:tblInd w:w="0" w:type="dxa"/>
        <w:tblLayout w:type="fixed"/>
        <w:tblCellMar>
          <w:top w:w="0" w:type="dxa"/>
          <w:left w:w="0" w:type="dxa"/>
          <w:bottom w:w="0" w:type="dxa"/>
          <w:right w:w="0" w:type="dxa"/>
        </w:tblCellMar>
      </w:tblPr>
      <w:tblGrid>
        <w:gridCol w:w="866"/>
        <w:gridCol w:w="1417"/>
        <w:gridCol w:w="7650"/>
        <w:gridCol w:w="30"/>
      </w:tblGrid>
      <w:tr>
        <w:tblPrEx>
          <w:tblLayout w:type="fixed"/>
          <w:tblCellMar>
            <w:top w:w="0" w:type="dxa"/>
            <w:left w:w="0" w:type="dxa"/>
            <w:bottom w:w="0" w:type="dxa"/>
            <w:right w:w="0" w:type="dxa"/>
          </w:tblCellMar>
        </w:tblPrEx>
        <w:trPr>
          <w:trHeight w:val="600" w:hRule="atLeast"/>
        </w:trPr>
        <w:tc>
          <w:tcPr>
            <w:tcW w:w="8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Cs w:val="21"/>
              </w:rPr>
            </w:pPr>
            <w:r>
              <w:rPr>
                <w:rFonts w:hint="eastAsia" w:ascii="宋体" w:hAnsi="宋体" w:cs="宋体"/>
                <w:b/>
                <w:bCs/>
                <w:szCs w:val="21"/>
              </w:rPr>
              <w:t>序号</w:t>
            </w:r>
          </w:p>
        </w:tc>
        <w:tc>
          <w:tcPr>
            <w:tcW w:w="141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Cs w:val="21"/>
              </w:rPr>
            </w:pPr>
            <w:r>
              <w:rPr>
                <w:rFonts w:hint="eastAsia" w:ascii="宋体" w:hAnsi="宋体" w:cs="宋体"/>
                <w:b/>
                <w:bCs/>
                <w:szCs w:val="21"/>
              </w:rPr>
              <w:t>设备名称</w:t>
            </w:r>
          </w:p>
        </w:tc>
        <w:tc>
          <w:tcPr>
            <w:tcW w:w="7680"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Cs w:val="21"/>
              </w:rPr>
            </w:pPr>
            <w:r>
              <w:rPr>
                <w:rFonts w:hint="eastAsia" w:ascii="宋体" w:hAnsi="宋体" w:cs="宋体"/>
                <w:b/>
                <w:bCs/>
                <w:szCs w:val="21"/>
              </w:rPr>
              <w:t>规格参数要求</w:t>
            </w:r>
          </w:p>
        </w:tc>
      </w:tr>
      <w:tr>
        <w:tblPrEx>
          <w:tblLayout w:type="fixed"/>
          <w:tblCellMar>
            <w:top w:w="0" w:type="dxa"/>
            <w:left w:w="0" w:type="dxa"/>
            <w:bottom w:w="0" w:type="dxa"/>
            <w:right w:w="0" w:type="dxa"/>
          </w:tblCellMar>
        </w:tblPrEx>
        <w:trPr>
          <w:trHeight w:val="675" w:hRule="atLeast"/>
        </w:trPr>
        <w:tc>
          <w:tcPr>
            <w:tcW w:w="86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Cs/>
                <w:szCs w:val="21"/>
              </w:rPr>
            </w:pPr>
            <w:r>
              <w:rPr>
                <w:rFonts w:hint="eastAsia" w:ascii="宋体" w:hAnsi="宋体" w:cs="宋体"/>
                <w:bCs/>
                <w:szCs w:val="21"/>
              </w:rPr>
              <w:t>NO.1</w:t>
            </w:r>
          </w:p>
        </w:tc>
        <w:tc>
          <w:tcPr>
            <w:tcW w:w="14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eastAsia="宋体" w:cs="宋体"/>
                <w:bCs/>
                <w:szCs w:val="21"/>
                <w:lang w:eastAsia="zh-CN"/>
              </w:rPr>
            </w:pPr>
            <w:r>
              <w:rPr>
                <w:rFonts w:hint="eastAsia" w:ascii="宋体" w:hAnsi="宋体" w:cs="宋体"/>
                <w:bCs/>
                <w:szCs w:val="21"/>
              </w:rPr>
              <w:t>LED</w:t>
            </w:r>
            <w:r>
              <w:rPr>
                <w:rFonts w:hint="eastAsia" w:ascii="宋体" w:hAnsi="宋体" w:cs="宋体"/>
                <w:bCs/>
                <w:szCs w:val="21"/>
                <w:lang w:val="en-US" w:eastAsia="zh-CN"/>
              </w:rPr>
              <w:t>单元板</w:t>
            </w:r>
          </w:p>
        </w:tc>
        <w:tc>
          <w:tcPr>
            <w:tcW w:w="76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numPr>
                <w:ilvl w:val="0"/>
                <w:numId w:val="4"/>
              </w:numPr>
              <w:spacing w:line="360" w:lineRule="auto"/>
              <w:jc w:val="left"/>
              <w:rPr>
                <w:rFonts w:ascii="宋体" w:hAnsi="宋体" w:cs="宋体"/>
                <w:bCs/>
                <w:szCs w:val="21"/>
              </w:rPr>
            </w:pPr>
            <w:r>
              <w:rPr>
                <w:rFonts w:hint="eastAsia" w:ascii="宋体" w:hAnsi="宋体" w:cs="宋体"/>
                <w:bCs/>
                <w:szCs w:val="21"/>
              </w:rPr>
              <w:t>室内 Q</w:t>
            </w:r>
            <w:r>
              <w:rPr>
                <w:rFonts w:hint="eastAsia" w:ascii="宋体" w:hAnsi="宋体" w:cs="宋体"/>
                <w:bCs/>
                <w:szCs w:val="21"/>
                <w:lang w:val="en-US" w:eastAsia="zh-CN"/>
              </w:rPr>
              <w:t>2.5</w:t>
            </w:r>
            <w:r>
              <w:rPr>
                <w:rFonts w:hint="eastAsia" w:ascii="宋体" w:hAnsi="宋体" w:cs="宋体"/>
                <w:bCs/>
                <w:szCs w:val="21"/>
              </w:rPr>
              <w:t>全彩单元板显示效果更加清晰细腻；实现超高刷新率≥3840HZ、高灰阶及较高灯管利用率；无残影、防“毛毛虫” 、低功耗、低突波等</w:t>
            </w:r>
          </w:p>
          <w:p>
            <w:pPr>
              <w:numPr>
                <w:ilvl w:val="0"/>
                <w:numId w:val="4"/>
              </w:numPr>
              <w:spacing w:line="360" w:lineRule="auto"/>
              <w:jc w:val="left"/>
              <w:rPr>
                <w:rFonts w:ascii="宋体" w:hAnsi="宋体" w:cs="宋体"/>
                <w:bCs/>
                <w:szCs w:val="21"/>
              </w:rPr>
            </w:pPr>
            <w:r>
              <w:rPr>
                <w:rFonts w:hint="eastAsia" w:ascii="宋体" w:hAnsi="宋体" w:cs="宋体"/>
                <w:bCs/>
                <w:szCs w:val="21"/>
              </w:rPr>
              <w:t>结构说明：</w:t>
            </w:r>
            <w:r>
              <w:rPr>
                <w:rFonts w:hint="eastAsia" w:ascii="宋体" w:hAnsi="宋体" w:cs="宋体"/>
                <w:bCs/>
                <w:szCs w:val="21"/>
              </w:rPr>
              <w:tab/>
            </w:r>
            <w:r>
              <w:rPr>
                <w:rFonts w:hint="eastAsia" w:ascii="宋体" w:hAnsi="宋体" w:cs="宋体"/>
                <w:bCs/>
                <w:szCs w:val="21"/>
              </w:rPr>
              <w:t>像素点采用1红1蓝1绿三合一</w:t>
            </w:r>
          </w:p>
          <w:p>
            <w:pPr>
              <w:numPr>
                <w:ilvl w:val="0"/>
                <w:numId w:val="4"/>
              </w:numPr>
              <w:spacing w:line="360" w:lineRule="auto"/>
              <w:jc w:val="left"/>
              <w:rPr>
                <w:rFonts w:ascii="宋体" w:hAnsi="宋体" w:cs="宋体"/>
                <w:bCs/>
                <w:szCs w:val="21"/>
              </w:rPr>
            </w:pPr>
            <w:r>
              <w:rPr>
                <w:rFonts w:hint="eastAsia" w:ascii="宋体" w:hAnsi="宋体" w:cs="宋体"/>
                <w:bCs/>
                <w:szCs w:val="21"/>
              </w:rPr>
              <w:t>模组尺寸</w:t>
            </w:r>
            <w:r>
              <w:rPr>
                <w:rFonts w:hint="eastAsia" w:ascii="宋体" w:hAnsi="宋体" w:cs="宋体"/>
                <w:bCs/>
                <w:szCs w:val="21"/>
              </w:rPr>
              <w:tab/>
            </w:r>
            <w:r>
              <w:rPr>
                <w:rFonts w:hint="eastAsia" w:ascii="宋体" w:hAnsi="宋体" w:cs="宋体"/>
                <w:bCs/>
                <w:szCs w:val="21"/>
              </w:rPr>
              <w:t>320mm*160mm</w:t>
            </w:r>
          </w:p>
          <w:p>
            <w:pPr>
              <w:numPr>
                <w:ilvl w:val="0"/>
                <w:numId w:val="4"/>
              </w:numPr>
              <w:spacing w:line="360" w:lineRule="auto"/>
              <w:jc w:val="left"/>
              <w:rPr>
                <w:rFonts w:ascii="宋体" w:hAnsi="宋体" w:cs="宋体"/>
                <w:bCs/>
                <w:color w:val="FF0000"/>
                <w:szCs w:val="21"/>
              </w:rPr>
            </w:pPr>
            <w:r>
              <w:rPr>
                <w:rFonts w:hint="eastAsia" w:ascii="宋体" w:hAnsi="宋体" w:cs="宋体"/>
                <w:bCs/>
                <w:szCs w:val="21"/>
              </w:rPr>
              <w:t>屏体显示尺寸面积：</w:t>
            </w:r>
            <w:r>
              <w:rPr>
                <w:rFonts w:hint="eastAsia" w:ascii="宋体" w:hAnsi="宋体" w:cs="宋体"/>
                <w:bCs/>
                <w:szCs w:val="21"/>
                <w:u w:val="single"/>
                <w:lang w:val="en-US" w:eastAsia="zh-CN"/>
              </w:rPr>
              <w:t xml:space="preserve">4.8 </w:t>
            </w:r>
            <w:r>
              <w:rPr>
                <w:rFonts w:hint="eastAsia" w:ascii="宋体" w:hAnsi="宋体" w:cs="宋体"/>
                <w:bCs/>
                <w:szCs w:val="21"/>
              </w:rPr>
              <w:t>m×</w:t>
            </w:r>
            <w:r>
              <w:rPr>
                <w:rFonts w:hint="eastAsia" w:ascii="宋体" w:hAnsi="宋体" w:cs="宋体"/>
                <w:bCs/>
                <w:szCs w:val="21"/>
                <w:u w:val="single"/>
                <w:lang w:val="en-US" w:eastAsia="zh-CN"/>
              </w:rPr>
              <w:t xml:space="preserve"> 2.72 </w:t>
            </w:r>
            <w:r>
              <w:rPr>
                <w:rFonts w:hint="eastAsia" w:ascii="宋体" w:hAnsi="宋体" w:cs="宋体"/>
                <w:bCs/>
                <w:szCs w:val="21"/>
              </w:rPr>
              <w:t xml:space="preserve">m= </w:t>
            </w:r>
            <w:r>
              <w:rPr>
                <w:rFonts w:hint="eastAsia" w:ascii="宋体" w:hAnsi="宋体" w:cs="宋体"/>
                <w:bCs/>
                <w:szCs w:val="21"/>
                <w:u w:val="single"/>
                <w:lang w:val="en-US" w:eastAsia="zh-CN"/>
              </w:rPr>
              <w:t xml:space="preserve">13.056 </w:t>
            </w:r>
            <w:r>
              <w:rPr>
                <w:rFonts w:hint="eastAsia" w:ascii="宋体" w:hAnsi="宋体" w:cs="宋体"/>
                <w:bCs/>
                <w:szCs w:val="21"/>
              </w:rPr>
              <w:t xml:space="preserve">㎡ </w:t>
            </w:r>
            <w:r>
              <w:rPr>
                <w:rFonts w:hint="eastAsia" w:ascii="宋体" w:hAnsi="宋体" w:cs="宋体"/>
                <w:bCs/>
                <w:szCs w:val="21"/>
                <w:lang w:val="en-US" w:eastAsia="zh-CN"/>
              </w:rPr>
              <w:t>两块</w:t>
            </w:r>
          </w:p>
          <w:p>
            <w:pPr>
              <w:numPr>
                <w:ilvl w:val="0"/>
                <w:numId w:val="4"/>
              </w:numPr>
              <w:spacing w:line="360" w:lineRule="auto"/>
              <w:jc w:val="left"/>
              <w:rPr>
                <w:rFonts w:ascii="宋体" w:hAnsi="宋体" w:cs="宋体"/>
                <w:bCs/>
                <w:color w:val="auto"/>
                <w:szCs w:val="21"/>
              </w:rPr>
            </w:pPr>
            <w:r>
              <w:rPr>
                <w:rFonts w:hint="eastAsia" w:ascii="宋体" w:hAnsi="宋体" w:cs="宋体"/>
                <w:bCs/>
                <w:color w:val="auto"/>
                <w:szCs w:val="21"/>
              </w:rPr>
              <w:t>★色坐标</w:t>
            </w:r>
            <w:r>
              <w:rPr>
                <w:rFonts w:hint="eastAsia" w:ascii="宋体" w:hAnsi="宋体" w:cs="宋体"/>
                <w:bCs/>
                <w:color w:val="auto"/>
                <w:szCs w:val="21"/>
              </w:rPr>
              <w:tab/>
            </w:r>
            <w:r>
              <w:rPr>
                <w:rFonts w:hint="eastAsia" w:ascii="宋体" w:hAnsi="宋体" w:cs="宋体"/>
                <w:bCs/>
                <w:color w:val="auto"/>
                <w:szCs w:val="21"/>
              </w:rPr>
              <w:t>X、Y坐标符合SJ/T11141-2017 5.10 5规定</w:t>
            </w:r>
          </w:p>
          <w:p>
            <w:pPr>
              <w:numPr>
                <w:ilvl w:val="0"/>
                <w:numId w:val="4"/>
              </w:numPr>
              <w:spacing w:line="360" w:lineRule="auto"/>
              <w:jc w:val="left"/>
              <w:rPr>
                <w:rFonts w:ascii="宋体" w:hAnsi="宋体" w:cs="宋体"/>
                <w:bCs/>
                <w:color w:val="auto"/>
                <w:szCs w:val="21"/>
              </w:rPr>
            </w:pPr>
            <w:r>
              <w:rPr>
                <w:rFonts w:hint="eastAsia" w:ascii="宋体" w:hAnsi="宋体" w:cs="宋体"/>
                <w:bCs/>
                <w:color w:val="auto"/>
                <w:szCs w:val="21"/>
              </w:rPr>
              <w:t>★色域</w:t>
            </w:r>
            <w:r>
              <w:rPr>
                <w:rFonts w:hint="eastAsia" w:ascii="宋体" w:hAnsi="宋体" w:cs="宋体"/>
                <w:bCs/>
                <w:color w:val="auto"/>
                <w:szCs w:val="21"/>
              </w:rPr>
              <w:tab/>
            </w:r>
            <w:r>
              <w:rPr>
                <w:rFonts w:hint="eastAsia" w:ascii="宋体" w:hAnsi="宋体" w:cs="宋体"/>
                <w:bCs/>
                <w:color w:val="auto"/>
                <w:szCs w:val="21"/>
              </w:rPr>
              <w:t>≥120% NTSC</w:t>
            </w:r>
          </w:p>
          <w:p>
            <w:pPr>
              <w:numPr>
                <w:ilvl w:val="0"/>
                <w:numId w:val="4"/>
              </w:numPr>
              <w:spacing w:line="360" w:lineRule="auto"/>
              <w:jc w:val="left"/>
              <w:rPr>
                <w:rFonts w:ascii="宋体" w:hAnsi="宋体" w:cs="宋体"/>
                <w:bCs/>
                <w:color w:val="auto"/>
                <w:szCs w:val="21"/>
              </w:rPr>
            </w:pPr>
            <w:r>
              <w:rPr>
                <w:rFonts w:hint="eastAsia" w:ascii="宋体" w:hAnsi="宋体" w:cs="宋体"/>
                <w:bCs/>
                <w:color w:val="auto"/>
                <w:szCs w:val="21"/>
              </w:rPr>
              <w:t>★像素点间距：≤</w:t>
            </w:r>
            <w:r>
              <w:rPr>
                <w:rFonts w:hint="eastAsia" w:ascii="宋体" w:hAnsi="宋体" w:cs="宋体"/>
                <w:bCs/>
                <w:color w:val="auto"/>
                <w:szCs w:val="21"/>
                <w:lang w:val="en-US" w:eastAsia="zh-CN"/>
              </w:rPr>
              <w:t>2.5</w:t>
            </w:r>
            <w:r>
              <w:rPr>
                <w:rFonts w:hint="eastAsia" w:ascii="宋体" w:hAnsi="宋体" w:cs="宋体"/>
                <w:bCs/>
                <w:color w:val="auto"/>
                <w:szCs w:val="21"/>
              </w:rPr>
              <w:t>mm ；最佳视角</w:t>
            </w:r>
            <w:r>
              <w:rPr>
                <w:rFonts w:hint="eastAsia" w:ascii="宋体" w:hAnsi="宋体" w:cs="宋体"/>
                <w:bCs/>
                <w:color w:val="auto"/>
                <w:szCs w:val="21"/>
              </w:rPr>
              <w:tab/>
            </w:r>
            <w:r>
              <w:rPr>
                <w:rFonts w:hint="eastAsia" w:ascii="宋体" w:hAnsi="宋体" w:cs="宋体"/>
                <w:bCs/>
                <w:color w:val="auto"/>
                <w:szCs w:val="21"/>
              </w:rPr>
              <w:t>水平170°，垂直170°</w:t>
            </w:r>
          </w:p>
          <w:p>
            <w:pPr>
              <w:numPr>
                <w:ilvl w:val="0"/>
                <w:numId w:val="4"/>
              </w:numPr>
              <w:spacing w:line="360" w:lineRule="auto"/>
              <w:jc w:val="left"/>
              <w:rPr>
                <w:rFonts w:ascii="宋体" w:hAnsi="宋体" w:cs="宋体"/>
                <w:bCs/>
                <w:szCs w:val="21"/>
              </w:rPr>
            </w:pPr>
            <w:r>
              <w:rPr>
                <w:rFonts w:hint="eastAsia" w:ascii="宋体" w:hAnsi="宋体" w:cs="宋体"/>
                <w:bCs/>
                <w:szCs w:val="21"/>
              </w:rPr>
              <w:t>像素失控率</w:t>
            </w:r>
            <w:r>
              <w:rPr>
                <w:rFonts w:hint="eastAsia" w:ascii="宋体" w:hAnsi="宋体" w:cs="宋体"/>
                <w:bCs/>
                <w:szCs w:val="21"/>
              </w:rPr>
              <w:tab/>
            </w:r>
            <w:r>
              <w:rPr>
                <w:rFonts w:hint="eastAsia" w:ascii="宋体" w:hAnsi="宋体" w:cs="宋体"/>
                <w:bCs/>
                <w:szCs w:val="21"/>
              </w:rPr>
              <w:t>＜0.01%</w:t>
            </w:r>
          </w:p>
          <w:p>
            <w:pPr>
              <w:numPr>
                <w:ilvl w:val="0"/>
                <w:numId w:val="4"/>
              </w:numPr>
              <w:spacing w:line="360" w:lineRule="auto"/>
              <w:jc w:val="left"/>
              <w:rPr>
                <w:rFonts w:ascii="宋体" w:hAnsi="宋体" w:cs="宋体"/>
                <w:bCs/>
                <w:szCs w:val="21"/>
              </w:rPr>
            </w:pPr>
            <w:r>
              <w:rPr>
                <w:rFonts w:hint="eastAsia" w:ascii="宋体" w:hAnsi="宋体" w:cs="宋体"/>
                <w:bCs/>
                <w:szCs w:val="21"/>
              </w:rPr>
              <w:t>发光点中心偏距</w:t>
            </w:r>
            <w:r>
              <w:rPr>
                <w:rFonts w:hint="eastAsia" w:ascii="宋体" w:hAnsi="宋体" w:cs="宋体"/>
                <w:bCs/>
                <w:szCs w:val="21"/>
              </w:rPr>
              <w:tab/>
            </w:r>
            <w:r>
              <w:rPr>
                <w:rFonts w:hint="eastAsia" w:ascii="宋体" w:hAnsi="宋体" w:cs="宋体"/>
                <w:bCs/>
                <w:szCs w:val="21"/>
              </w:rPr>
              <w:t>＜1%</w:t>
            </w:r>
          </w:p>
          <w:p>
            <w:pPr>
              <w:numPr>
                <w:ilvl w:val="0"/>
                <w:numId w:val="4"/>
              </w:numPr>
              <w:spacing w:line="360" w:lineRule="auto"/>
              <w:jc w:val="left"/>
              <w:rPr>
                <w:rFonts w:ascii="宋体" w:hAnsi="宋体" w:cs="宋体"/>
                <w:bCs/>
                <w:color w:val="auto"/>
                <w:szCs w:val="21"/>
              </w:rPr>
            </w:pPr>
            <w:r>
              <w:rPr>
                <w:rFonts w:hint="eastAsia" w:ascii="宋体" w:hAnsi="宋体" w:cs="宋体"/>
                <w:bCs/>
                <w:color w:val="auto"/>
                <w:szCs w:val="21"/>
              </w:rPr>
              <w:t>画面延迟</w:t>
            </w:r>
            <w:r>
              <w:rPr>
                <w:rFonts w:hint="eastAsia" w:ascii="宋体" w:hAnsi="宋体" w:cs="宋体"/>
                <w:bCs/>
                <w:color w:val="auto"/>
                <w:szCs w:val="21"/>
              </w:rPr>
              <w:tab/>
            </w:r>
            <w:r>
              <w:rPr>
                <w:rFonts w:hint="eastAsia" w:ascii="宋体" w:hAnsi="宋体" w:cs="宋体"/>
                <w:bCs/>
                <w:color w:val="auto"/>
                <w:szCs w:val="21"/>
              </w:rPr>
              <w:t>≤500ns</w:t>
            </w:r>
          </w:p>
          <w:p>
            <w:pPr>
              <w:numPr>
                <w:ilvl w:val="0"/>
                <w:numId w:val="4"/>
              </w:numPr>
              <w:spacing w:line="360" w:lineRule="auto"/>
              <w:jc w:val="left"/>
              <w:rPr>
                <w:rFonts w:ascii="宋体" w:hAnsi="宋体" w:cs="宋体"/>
                <w:bCs/>
                <w:color w:val="auto"/>
                <w:szCs w:val="21"/>
              </w:rPr>
            </w:pPr>
            <w:r>
              <w:rPr>
                <w:rFonts w:hint="eastAsia" w:ascii="宋体" w:hAnsi="宋体" w:cs="宋体"/>
                <w:bCs/>
                <w:color w:val="auto"/>
                <w:szCs w:val="21"/>
              </w:rPr>
              <w:t>信噪比</w:t>
            </w:r>
            <w:r>
              <w:rPr>
                <w:rFonts w:hint="eastAsia" w:ascii="宋体" w:hAnsi="宋体" w:cs="宋体"/>
                <w:bCs/>
                <w:color w:val="auto"/>
                <w:szCs w:val="21"/>
              </w:rPr>
              <w:tab/>
            </w:r>
            <w:r>
              <w:rPr>
                <w:rFonts w:hint="eastAsia" w:ascii="宋体" w:hAnsi="宋体" w:cs="宋体"/>
                <w:bCs/>
                <w:color w:val="auto"/>
                <w:szCs w:val="21"/>
              </w:rPr>
              <w:t>≥47DB</w:t>
            </w:r>
          </w:p>
          <w:p>
            <w:pPr>
              <w:numPr>
                <w:ilvl w:val="0"/>
                <w:numId w:val="4"/>
              </w:numPr>
              <w:spacing w:line="360" w:lineRule="auto"/>
              <w:jc w:val="left"/>
              <w:rPr>
                <w:rFonts w:ascii="宋体" w:hAnsi="宋体" w:cs="宋体"/>
                <w:bCs/>
                <w:color w:val="FF0000"/>
                <w:szCs w:val="21"/>
              </w:rPr>
            </w:pPr>
            <w:r>
              <w:rPr>
                <w:rFonts w:hint="eastAsia" w:ascii="宋体" w:hAnsi="宋体" w:cs="宋体"/>
                <w:bCs/>
                <w:szCs w:val="21"/>
              </w:rPr>
              <w:t>驱动器件</w:t>
            </w:r>
            <w:r>
              <w:rPr>
                <w:rFonts w:hint="eastAsia" w:ascii="宋体" w:hAnsi="宋体" w:cs="宋体"/>
                <w:bCs/>
                <w:szCs w:val="21"/>
              </w:rPr>
              <w:tab/>
            </w:r>
            <w:r>
              <w:rPr>
                <w:rFonts w:hint="eastAsia" w:ascii="宋体" w:hAnsi="宋体" w:cs="宋体"/>
                <w:bCs/>
                <w:szCs w:val="21"/>
              </w:rPr>
              <w:t xml:space="preserve">恒流驱动 </w:t>
            </w:r>
          </w:p>
          <w:p>
            <w:pPr>
              <w:numPr>
                <w:ilvl w:val="0"/>
                <w:numId w:val="4"/>
              </w:numPr>
              <w:spacing w:line="360" w:lineRule="auto"/>
              <w:jc w:val="left"/>
              <w:rPr>
                <w:rFonts w:ascii="宋体" w:hAnsi="宋体" w:cs="宋体"/>
                <w:bCs/>
                <w:color w:val="auto"/>
                <w:szCs w:val="21"/>
              </w:rPr>
            </w:pPr>
            <w:r>
              <w:rPr>
                <w:rFonts w:hint="eastAsia" w:ascii="宋体" w:hAnsi="宋体" w:cs="宋体"/>
                <w:bCs/>
                <w:color w:val="auto"/>
                <w:szCs w:val="21"/>
              </w:rPr>
              <w:t>★亮度</w:t>
            </w:r>
            <w:r>
              <w:rPr>
                <w:rFonts w:hint="eastAsia" w:ascii="宋体" w:hAnsi="宋体" w:cs="宋体"/>
                <w:bCs/>
                <w:color w:val="auto"/>
                <w:szCs w:val="21"/>
              </w:rPr>
              <w:tab/>
            </w:r>
            <w:r>
              <w:rPr>
                <w:rFonts w:hint="eastAsia" w:ascii="宋体" w:hAnsi="宋体" w:cs="宋体"/>
                <w:bCs/>
                <w:color w:val="auto"/>
                <w:szCs w:val="21"/>
              </w:rPr>
              <w:t>≥700Cd/㎡</w:t>
            </w:r>
          </w:p>
          <w:p>
            <w:pPr>
              <w:numPr>
                <w:ilvl w:val="0"/>
                <w:numId w:val="4"/>
              </w:numPr>
              <w:spacing w:line="360" w:lineRule="auto"/>
              <w:jc w:val="left"/>
              <w:rPr>
                <w:rFonts w:ascii="宋体" w:hAnsi="宋体" w:cs="宋体"/>
                <w:bCs/>
                <w:szCs w:val="21"/>
              </w:rPr>
            </w:pPr>
            <w:r>
              <w:rPr>
                <w:rFonts w:hint="eastAsia" w:ascii="宋体" w:hAnsi="宋体" w:cs="宋体"/>
                <w:bCs/>
                <w:szCs w:val="21"/>
              </w:rPr>
              <w:t>亮度均匀性</w:t>
            </w:r>
            <w:r>
              <w:rPr>
                <w:rFonts w:hint="eastAsia" w:ascii="宋体" w:hAnsi="宋体" w:cs="宋体"/>
                <w:bCs/>
                <w:szCs w:val="21"/>
              </w:rPr>
              <w:tab/>
            </w:r>
            <w:r>
              <w:rPr>
                <w:rFonts w:hint="eastAsia" w:ascii="宋体" w:hAnsi="宋体" w:cs="宋体"/>
                <w:bCs/>
                <w:szCs w:val="21"/>
              </w:rPr>
              <w:t>≥98%</w:t>
            </w:r>
          </w:p>
          <w:p>
            <w:pPr>
              <w:numPr>
                <w:ilvl w:val="0"/>
                <w:numId w:val="4"/>
              </w:numPr>
              <w:spacing w:line="360" w:lineRule="auto"/>
              <w:jc w:val="left"/>
              <w:rPr>
                <w:rFonts w:ascii="宋体" w:hAnsi="宋体" w:cs="宋体"/>
                <w:bCs/>
                <w:szCs w:val="21"/>
              </w:rPr>
            </w:pPr>
            <w:r>
              <w:rPr>
                <w:rFonts w:hint="eastAsia" w:ascii="宋体" w:hAnsi="宋体" w:cs="宋体"/>
                <w:bCs/>
                <w:szCs w:val="21"/>
              </w:rPr>
              <w:t>亮度鉴别等级</w:t>
            </w:r>
            <w:r>
              <w:rPr>
                <w:rFonts w:hint="eastAsia" w:ascii="宋体" w:hAnsi="宋体" w:cs="宋体"/>
                <w:bCs/>
                <w:szCs w:val="21"/>
              </w:rPr>
              <w:tab/>
            </w:r>
            <w:r>
              <w:rPr>
                <w:rFonts w:hint="eastAsia" w:ascii="宋体" w:hAnsi="宋体" w:cs="宋体"/>
                <w:bCs/>
                <w:szCs w:val="21"/>
                <w:lang w:val="en-US" w:eastAsia="zh-CN"/>
              </w:rPr>
              <w:t>依据SJ/T11141-2017 5.10.6规定；C级 Bj</w:t>
            </w:r>
            <w:r>
              <w:rPr>
                <w:rFonts w:hint="eastAsia" w:ascii="宋体" w:hAnsi="宋体" w:cs="宋体"/>
                <w:bCs/>
                <w:szCs w:val="21"/>
              </w:rPr>
              <w:t>≥20</w:t>
            </w:r>
          </w:p>
          <w:p>
            <w:pPr>
              <w:numPr>
                <w:ilvl w:val="0"/>
                <w:numId w:val="4"/>
              </w:numPr>
              <w:spacing w:line="360" w:lineRule="auto"/>
              <w:jc w:val="left"/>
              <w:rPr>
                <w:rFonts w:ascii="宋体" w:hAnsi="宋体" w:cs="宋体"/>
                <w:bCs/>
                <w:szCs w:val="21"/>
              </w:rPr>
            </w:pPr>
            <w:r>
              <w:rPr>
                <w:rFonts w:hint="eastAsia" w:ascii="宋体" w:hAnsi="宋体" w:cs="宋体"/>
                <w:bCs/>
                <w:szCs w:val="21"/>
              </w:rPr>
              <w:t>色度均匀性</w:t>
            </w:r>
            <w:r>
              <w:rPr>
                <w:rFonts w:hint="eastAsia" w:ascii="宋体" w:hAnsi="宋体" w:cs="宋体"/>
                <w:bCs/>
                <w:szCs w:val="21"/>
              </w:rPr>
              <w:tab/>
            </w:r>
            <w:r>
              <w:rPr>
                <w:rFonts w:hint="eastAsia" w:ascii="宋体" w:hAnsi="宋体" w:cs="宋体"/>
                <w:bCs/>
                <w:szCs w:val="21"/>
              </w:rPr>
              <w:t>±0.002Cx、Cy内</w:t>
            </w:r>
          </w:p>
          <w:p>
            <w:pPr>
              <w:numPr>
                <w:ilvl w:val="0"/>
                <w:numId w:val="4"/>
              </w:numPr>
              <w:spacing w:line="360" w:lineRule="auto"/>
              <w:jc w:val="left"/>
              <w:rPr>
                <w:rFonts w:ascii="宋体" w:hAnsi="宋体" w:cs="宋体"/>
                <w:bCs/>
                <w:szCs w:val="21"/>
              </w:rPr>
            </w:pPr>
            <w:r>
              <w:rPr>
                <w:rFonts w:hint="eastAsia" w:ascii="宋体" w:hAnsi="宋体" w:cs="宋体"/>
                <w:bCs/>
                <w:szCs w:val="21"/>
              </w:rPr>
              <w:t>整屏平整度</w:t>
            </w:r>
            <w:r>
              <w:rPr>
                <w:rFonts w:hint="eastAsia" w:ascii="宋体" w:hAnsi="宋体" w:cs="宋体"/>
                <w:bCs/>
                <w:szCs w:val="21"/>
              </w:rPr>
              <w:tab/>
            </w:r>
            <w:r>
              <w:rPr>
                <w:rFonts w:hint="eastAsia" w:ascii="宋体" w:hAnsi="宋体" w:cs="宋体"/>
                <w:bCs/>
                <w:szCs w:val="21"/>
              </w:rPr>
              <w:t>≤0.1mm</w:t>
            </w:r>
          </w:p>
          <w:p>
            <w:pPr>
              <w:numPr>
                <w:ilvl w:val="0"/>
                <w:numId w:val="4"/>
              </w:numPr>
              <w:spacing w:line="360" w:lineRule="auto"/>
              <w:jc w:val="left"/>
              <w:rPr>
                <w:rFonts w:ascii="宋体" w:hAnsi="宋体" w:cs="宋体"/>
                <w:bCs/>
                <w:color w:val="auto"/>
                <w:szCs w:val="21"/>
              </w:rPr>
            </w:pPr>
            <w:r>
              <w:rPr>
                <w:rFonts w:hint="eastAsia" w:ascii="宋体" w:hAnsi="宋体" w:cs="宋体"/>
                <w:bCs/>
                <w:color w:val="auto"/>
                <w:szCs w:val="21"/>
              </w:rPr>
              <w:t>★机械强度≥30MPA  抗拉强度≥230</w:t>
            </w:r>
          </w:p>
          <w:p>
            <w:pPr>
              <w:numPr>
                <w:ilvl w:val="0"/>
                <w:numId w:val="4"/>
              </w:numPr>
              <w:spacing w:line="360" w:lineRule="auto"/>
              <w:jc w:val="left"/>
              <w:rPr>
                <w:rFonts w:ascii="宋体" w:hAnsi="宋体" w:cs="宋体"/>
                <w:bCs/>
                <w:szCs w:val="21"/>
              </w:rPr>
            </w:pPr>
            <w:r>
              <w:rPr>
                <w:rFonts w:hint="eastAsia" w:ascii="宋体" w:hAnsi="宋体" w:cs="宋体"/>
                <w:bCs/>
                <w:szCs w:val="21"/>
              </w:rPr>
              <w:t>拼接缝</w:t>
            </w:r>
            <w:r>
              <w:rPr>
                <w:rFonts w:hint="eastAsia" w:ascii="宋体" w:hAnsi="宋体" w:cs="宋体"/>
                <w:bCs/>
                <w:szCs w:val="21"/>
              </w:rPr>
              <w:tab/>
            </w:r>
            <w:r>
              <w:rPr>
                <w:rFonts w:hint="eastAsia" w:ascii="宋体" w:hAnsi="宋体" w:cs="宋体"/>
                <w:bCs/>
                <w:szCs w:val="21"/>
              </w:rPr>
              <w:t>≤0.05mm</w:t>
            </w:r>
          </w:p>
          <w:p>
            <w:pPr>
              <w:numPr>
                <w:ilvl w:val="0"/>
                <w:numId w:val="4"/>
              </w:numPr>
              <w:spacing w:line="360" w:lineRule="auto"/>
              <w:jc w:val="left"/>
              <w:rPr>
                <w:rFonts w:ascii="宋体" w:hAnsi="宋体" w:cs="宋体"/>
                <w:bCs/>
                <w:szCs w:val="21"/>
              </w:rPr>
            </w:pPr>
            <w:r>
              <w:rPr>
                <w:rFonts w:hint="eastAsia" w:ascii="宋体" w:hAnsi="宋体" w:cs="宋体"/>
                <w:bCs/>
                <w:szCs w:val="21"/>
              </w:rPr>
              <w:t>模组结构</w:t>
            </w:r>
            <w:r>
              <w:rPr>
                <w:rFonts w:hint="eastAsia" w:ascii="宋体" w:hAnsi="宋体" w:cs="宋体"/>
                <w:bCs/>
                <w:szCs w:val="21"/>
              </w:rPr>
              <w:tab/>
            </w:r>
            <w:r>
              <w:rPr>
                <w:rFonts w:hint="eastAsia" w:ascii="宋体" w:hAnsi="宋体" w:cs="宋体"/>
                <w:bCs/>
                <w:szCs w:val="21"/>
              </w:rPr>
              <w:t>灯驱合一</w:t>
            </w:r>
          </w:p>
          <w:p>
            <w:pPr>
              <w:numPr>
                <w:ilvl w:val="0"/>
                <w:numId w:val="4"/>
              </w:numPr>
              <w:spacing w:line="360" w:lineRule="auto"/>
              <w:jc w:val="left"/>
              <w:rPr>
                <w:rFonts w:ascii="宋体" w:hAnsi="宋体" w:cs="宋体"/>
                <w:bCs/>
                <w:szCs w:val="21"/>
              </w:rPr>
            </w:pPr>
            <w:r>
              <w:rPr>
                <w:rFonts w:hint="eastAsia" w:ascii="宋体" w:hAnsi="宋体" w:cs="宋体"/>
                <w:bCs/>
                <w:szCs w:val="21"/>
              </w:rPr>
              <w:t>灰度等级</w:t>
            </w:r>
            <w:r>
              <w:rPr>
                <w:rFonts w:hint="eastAsia" w:ascii="宋体" w:hAnsi="宋体" w:cs="宋体"/>
                <w:bCs/>
                <w:szCs w:val="21"/>
              </w:rPr>
              <w:tab/>
            </w:r>
            <w:r>
              <w:rPr>
                <w:rFonts w:hint="eastAsia" w:ascii="宋体" w:hAnsi="宋体" w:cs="宋体"/>
                <w:bCs/>
                <w:szCs w:val="21"/>
              </w:rPr>
              <w:t>16bit</w:t>
            </w:r>
          </w:p>
          <w:p>
            <w:pPr>
              <w:numPr>
                <w:ilvl w:val="0"/>
                <w:numId w:val="4"/>
              </w:numPr>
              <w:spacing w:line="360" w:lineRule="auto"/>
              <w:jc w:val="left"/>
              <w:rPr>
                <w:rFonts w:ascii="宋体" w:hAnsi="宋体" w:cs="宋体"/>
                <w:bCs/>
                <w:szCs w:val="21"/>
              </w:rPr>
            </w:pPr>
            <w:r>
              <w:rPr>
                <w:rFonts w:hint="eastAsia" w:ascii="宋体" w:hAnsi="宋体" w:cs="宋体"/>
                <w:bCs/>
                <w:szCs w:val="21"/>
              </w:rPr>
              <w:t>低亮高灰</w:t>
            </w:r>
            <w:r>
              <w:rPr>
                <w:rFonts w:hint="eastAsia" w:ascii="宋体" w:hAnsi="宋体" w:cs="宋体"/>
                <w:bCs/>
                <w:szCs w:val="21"/>
              </w:rPr>
              <w:tab/>
            </w:r>
            <w:r>
              <w:rPr>
                <w:rFonts w:hint="eastAsia" w:ascii="宋体" w:hAnsi="宋体" w:cs="宋体"/>
                <w:bCs/>
                <w:szCs w:val="21"/>
              </w:rPr>
              <w:t>亮度为10%时，信号处理深度（灰度级数）达到14bit</w:t>
            </w:r>
          </w:p>
          <w:p>
            <w:pPr>
              <w:numPr>
                <w:ilvl w:val="0"/>
                <w:numId w:val="4"/>
              </w:numPr>
              <w:spacing w:line="360" w:lineRule="auto"/>
              <w:jc w:val="left"/>
              <w:rPr>
                <w:rFonts w:ascii="宋体" w:hAnsi="宋体" w:cs="宋体"/>
                <w:bCs/>
                <w:szCs w:val="21"/>
              </w:rPr>
            </w:pPr>
            <w:r>
              <w:rPr>
                <w:rFonts w:hint="eastAsia" w:ascii="宋体" w:hAnsi="宋体" w:cs="宋体"/>
                <w:bCs/>
                <w:szCs w:val="21"/>
              </w:rPr>
              <w:t>反光率</w:t>
            </w:r>
            <w:r>
              <w:rPr>
                <w:rFonts w:hint="eastAsia" w:ascii="宋体" w:hAnsi="宋体" w:cs="宋体"/>
                <w:bCs/>
                <w:szCs w:val="21"/>
              </w:rPr>
              <w:tab/>
            </w:r>
            <w:r>
              <w:rPr>
                <w:rFonts w:hint="eastAsia" w:ascii="宋体" w:hAnsi="宋体" w:cs="宋体"/>
                <w:bCs/>
                <w:szCs w:val="21"/>
              </w:rPr>
              <w:t>≤1.2%</w:t>
            </w:r>
          </w:p>
          <w:p>
            <w:pPr>
              <w:numPr>
                <w:ilvl w:val="0"/>
                <w:numId w:val="4"/>
              </w:numPr>
              <w:spacing w:line="360" w:lineRule="auto"/>
              <w:jc w:val="left"/>
              <w:rPr>
                <w:rFonts w:ascii="宋体" w:hAnsi="宋体" w:cs="宋体"/>
                <w:bCs/>
                <w:szCs w:val="21"/>
              </w:rPr>
            </w:pPr>
            <w:r>
              <w:rPr>
                <w:rFonts w:hint="eastAsia" w:ascii="宋体" w:hAnsi="宋体" w:cs="宋体"/>
                <w:bCs/>
                <w:szCs w:val="21"/>
              </w:rPr>
              <w:t>换帧频率</w:t>
            </w:r>
            <w:r>
              <w:rPr>
                <w:rFonts w:hint="eastAsia" w:ascii="宋体" w:hAnsi="宋体" w:cs="宋体"/>
                <w:bCs/>
                <w:szCs w:val="21"/>
              </w:rPr>
              <w:tab/>
            </w:r>
            <w:r>
              <w:rPr>
                <w:rFonts w:hint="eastAsia" w:ascii="宋体" w:hAnsi="宋体" w:cs="宋体"/>
                <w:bCs/>
                <w:szCs w:val="21"/>
              </w:rPr>
              <w:t>60HZ</w:t>
            </w:r>
            <w:r>
              <w:rPr>
                <w:rFonts w:hint="eastAsia" w:ascii="宋体" w:hAnsi="宋体" w:cs="宋体"/>
                <w:bCs/>
                <w:szCs w:val="21"/>
                <w:lang w:eastAsia="zh-CN"/>
              </w:rPr>
              <w:t>，</w:t>
            </w:r>
            <w:r>
              <w:rPr>
                <w:rFonts w:hint="eastAsia" w:ascii="宋体" w:hAnsi="宋体" w:cs="宋体"/>
                <w:bCs/>
                <w:szCs w:val="21"/>
                <w:lang w:val="en-US" w:eastAsia="zh-CN"/>
              </w:rPr>
              <w:t>支持120HZ等3D显示技术</w:t>
            </w:r>
          </w:p>
          <w:p>
            <w:pPr>
              <w:numPr>
                <w:ilvl w:val="0"/>
                <w:numId w:val="4"/>
              </w:numPr>
              <w:spacing w:line="360" w:lineRule="auto"/>
              <w:jc w:val="left"/>
              <w:rPr>
                <w:rFonts w:ascii="宋体" w:hAnsi="宋体" w:cs="宋体"/>
                <w:bCs/>
                <w:szCs w:val="21"/>
              </w:rPr>
            </w:pPr>
            <w:r>
              <w:rPr>
                <w:rFonts w:hint="eastAsia" w:ascii="宋体" w:hAnsi="宋体" w:cs="宋体"/>
                <w:bCs/>
                <w:szCs w:val="21"/>
              </w:rPr>
              <w:t>高温负荷工作</w:t>
            </w:r>
            <w:r>
              <w:rPr>
                <w:rFonts w:hint="eastAsia" w:ascii="宋体" w:hAnsi="宋体" w:cs="宋体"/>
                <w:bCs/>
                <w:szCs w:val="21"/>
              </w:rPr>
              <w:tab/>
            </w:r>
            <w:r>
              <w:rPr>
                <w:rFonts w:hint="eastAsia" w:ascii="宋体" w:hAnsi="宋体" w:cs="宋体"/>
                <w:bCs/>
                <w:szCs w:val="21"/>
              </w:rPr>
              <w:t>80℃（12h）</w:t>
            </w:r>
          </w:p>
          <w:p>
            <w:pPr>
              <w:numPr>
                <w:ilvl w:val="0"/>
                <w:numId w:val="4"/>
              </w:numPr>
              <w:spacing w:line="360" w:lineRule="auto"/>
              <w:jc w:val="left"/>
              <w:rPr>
                <w:rFonts w:ascii="宋体" w:hAnsi="宋体" w:cs="宋体"/>
                <w:bCs/>
                <w:szCs w:val="21"/>
              </w:rPr>
            </w:pPr>
            <w:r>
              <w:rPr>
                <w:rFonts w:hint="eastAsia" w:ascii="宋体" w:hAnsi="宋体" w:cs="宋体"/>
                <w:bCs/>
                <w:szCs w:val="21"/>
              </w:rPr>
              <w:t>低温负荷工作</w:t>
            </w:r>
            <w:r>
              <w:rPr>
                <w:rFonts w:hint="eastAsia" w:ascii="宋体" w:hAnsi="宋体" w:cs="宋体"/>
                <w:bCs/>
                <w:szCs w:val="21"/>
              </w:rPr>
              <w:tab/>
            </w:r>
            <w:r>
              <w:rPr>
                <w:rFonts w:hint="eastAsia" w:ascii="宋体" w:hAnsi="宋体" w:cs="宋体"/>
                <w:bCs/>
                <w:szCs w:val="21"/>
              </w:rPr>
              <w:t>零下40℃(12h)</w:t>
            </w:r>
          </w:p>
          <w:p>
            <w:pPr>
              <w:numPr>
                <w:ilvl w:val="0"/>
                <w:numId w:val="4"/>
              </w:numPr>
              <w:spacing w:line="360" w:lineRule="auto"/>
              <w:jc w:val="left"/>
              <w:rPr>
                <w:rFonts w:ascii="宋体" w:hAnsi="宋体" w:cs="宋体"/>
                <w:bCs/>
                <w:color w:val="auto"/>
                <w:szCs w:val="21"/>
              </w:rPr>
            </w:pPr>
            <w:r>
              <w:rPr>
                <w:rFonts w:hint="eastAsia" w:ascii="宋体" w:hAnsi="宋体" w:cs="宋体"/>
                <w:bCs/>
                <w:color w:val="auto"/>
                <w:szCs w:val="21"/>
              </w:rPr>
              <w:t>★最大对比度</w:t>
            </w:r>
            <w:r>
              <w:rPr>
                <w:rFonts w:hint="eastAsia" w:ascii="宋体" w:hAnsi="宋体" w:cs="宋体"/>
                <w:bCs/>
                <w:color w:val="auto"/>
                <w:szCs w:val="21"/>
              </w:rPr>
              <w:tab/>
            </w:r>
            <w:r>
              <w:rPr>
                <w:rFonts w:hint="eastAsia" w:ascii="宋体" w:hAnsi="宋体" w:cs="宋体"/>
                <w:bCs/>
                <w:color w:val="auto"/>
                <w:szCs w:val="21"/>
              </w:rPr>
              <w:t>≥7000：1</w:t>
            </w:r>
          </w:p>
          <w:p>
            <w:pPr>
              <w:numPr>
                <w:ilvl w:val="0"/>
                <w:numId w:val="4"/>
              </w:numPr>
              <w:spacing w:line="360" w:lineRule="auto"/>
              <w:jc w:val="left"/>
              <w:rPr>
                <w:rFonts w:ascii="宋体" w:hAnsi="宋体" w:cs="宋体"/>
                <w:bCs/>
                <w:szCs w:val="21"/>
              </w:rPr>
            </w:pPr>
            <w:r>
              <w:rPr>
                <w:rFonts w:hint="eastAsia" w:ascii="宋体" w:hAnsi="宋体" w:cs="宋体"/>
                <w:bCs/>
                <w:szCs w:val="21"/>
              </w:rPr>
              <w:t>平均无故障时间：≥20000小时</w:t>
            </w:r>
          </w:p>
          <w:p>
            <w:pPr>
              <w:numPr>
                <w:ilvl w:val="0"/>
                <w:numId w:val="4"/>
              </w:numPr>
              <w:spacing w:line="360" w:lineRule="auto"/>
              <w:jc w:val="left"/>
              <w:rPr>
                <w:rFonts w:ascii="宋体" w:hAnsi="宋体" w:cs="宋体"/>
                <w:bCs/>
                <w:szCs w:val="21"/>
              </w:rPr>
            </w:pPr>
            <w:r>
              <w:rPr>
                <w:rFonts w:hint="eastAsia" w:ascii="宋体" w:hAnsi="宋体" w:cs="宋体"/>
                <w:bCs/>
                <w:szCs w:val="21"/>
              </w:rPr>
              <w:t>★峰值功耗</w:t>
            </w:r>
            <w:r>
              <w:rPr>
                <w:rFonts w:hint="eastAsia" w:ascii="宋体" w:hAnsi="宋体" w:cs="宋体"/>
                <w:bCs/>
                <w:szCs w:val="21"/>
              </w:rPr>
              <w:tab/>
            </w:r>
            <w:r>
              <w:rPr>
                <w:rFonts w:hint="eastAsia" w:ascii="宋体" w:hAnsi="宋体" w:cs="宋体"/>
                <w:bCs/>
                <w:szCs w:val="21"/>
              </w:rPr>
              <w:t>≤ 300W/㎡，平均功耗≤130W/㎡</w:t>
            </w:r>
          </w:p>
          <w:p>
            <w:pPr>
              <w:numPr>
                <w:ilvl w:val="0"/>
                <w:numId w:val="4"/>
              </w:numPr>
              <w:spacing w:line="360" w:lineRule="auto"/>
              <w:jc w:val="left"/>
              <w:rPr>
                <w:rFonts w:ascii="宋体" w:hAnsi="宋体" w:cs="宋体"/>
                <w:bCs/>
                <w:szCs w:val="21"/>
              </w:rPr>
            </w:pPr>
            <w:r>
              <w:rPr>
                <w:rFonts w:hint="eastAsia" w:ascii="宋体" w:hAnsi="宋体" w:cs="宋体"/>
                <w:bCs/>
                <w:szCs w:val="21"/>
              </w:rPr>
              <w:t>自动gamma设置：支持自动gamma校正技术</w:t>
            </w:r>
          </w:p>
          <w:p>
            <w:pPr>
              <w:numPr>
                <w:ilvl w:val="0"/>
                <w:numId w:val="4"/>
              </w:numPr>
              <w:spacing w:line="360" w:lineRule="auto"/>
              <w:jc w:val="left"/>
              <w:rPr>
                <w:rFonts w:ascii="宋体" w:hAnsi="宋体" w:cs="宋体"/>
                <w:bCs/>
                <w:color w:val="auto"/>
                <w:szCs w:val="21"/>
              </w:rPr>
            </w:pPr>
            <w:r>
              <w:rPr>
                <w:rFonts w:hint="eastAsia" w:ascii="宋体" w:hAnsi="宋体" w:cs="宋体"/>
                <w:bCs/>
                <w:color w:val="auto"/>
                <w:szCs w:val="21"/>
              </w:rPr>
              <w:t>★</w:t>
            </w:r>
            <w:r>
              <w:rPr>
                <w:rFonts w:hint="eastAsia" w:ascii="宋体" w:hAnsi="宋体" w:cs="宋体"/>
                <w:bCs/>
                <w:color w:val="auto"/>
                <w:szCs w:val="21"/>
              </w:rPr>
              <w:tab/>
            </w:r>
            <w:r>
              <w:rPr>
                <w:rFonts w:hint="eastAsia" w:ascii="宋体" w:hAnsi="宋体" w:cs="宋体"/>
                <w:bCs/>
                <w:color w:val="auto"/>
                <w:szCs w:val="21"/>
              </w:rPr>
              <w:t>盐雾10级</w:t>
            </w:r>
            <w:r>
              <w:rPr>
                <w:rFonts w:hint="eastAsia" w:ascii="宋体" w:hAnsi="宋体" w:cs="宋体"/>
                <w:bCs/>
                <w:color w:val="auto"/>
                <w:szCs w:val="21"/>
                <w:lang w:val="en-US" w:eastAsia="zh-CN"/>
              </w:rPr>
              <w:t xml:space="preserve">  抗震10级</w:t>
            </w:r>
          </w:p>
          <w:p>
            <w:pPr>
              <w:numPr>
                <w:ilvl w:val="0"/>
                <w:numId w:val="4"/>
              </w:numPr>
              <w:spacing w:line="360" w:lineRule="auto"/>
              <w:jc w:val="left"/>
              <w:rPr>
                <w:rFonts w:ascii="宋体" w:hAnsi="宋体" w:cs="宋体"/>
                <w:bCs/>
                <w:szCs w:val="21"/>
              </w:rPr>
            </w:pPr>
            <w:r>
              <w:rPr>
                <w:rFonts w:hint="eastAsia" w:ascii="宋体" w:hAnsi="宋体" w:cs="宋体"/>
                <w:bCs/>
                <w:szCs w:val="21"/>
              </w:rPr>
              <w:t>★色温</w:t>
            </w:r>
            <w:r>
              <w:rPr>
                <w:rFonts w:hint="eastAsia" w:ascii="宋体" w:hAnsi="宋体" w:cs="宋体"/>
                <w:bCs/>
                <w:szCs w:val="21"/>
              </w:rPr>
              <w:tab/>
            </w:r>
            <w:r>
              <w:rPr>
                <w:rFonts w:hint="eastAsia" w:ascii="宋体" w:hAnsi="宋体" w:cs="宋体"/>
                <w:bCs/>
                <w:szCs w:val="21"/>
              </w:rPr>
              <w:t>1000K-18000K具有可调整性</w:t>
            </w:r>
          </w:p>
          <w:p>
            <w:pPr>
              <w:numPr>
                <w:ilvl w:val="0"/>
                <w:numId w:val="4"/>
              </w:numPr>
              <w:spacing w:line="360" w:lineRule="auto"/>
              <w:jc w:val="left"/>
              <w:rPr>
                <w:rFonts w:ascii="宋体" w:hAnsi="宋体" w:cs="宋体"/>
                <w:bCs/>
                <w:szCs w:val="21"/>
              </w:rPr>
            </w:pPr>
            <w:r>
              <w:rPr>
                <w:rFonts w:hint="eastAsia" w:ascii="宋体" w:hAnsi="宋体" w:cs="宋体"/>
                <w:bCs/>
                <w:szCs w:val="21"/>
              </w:rPr>
              <w:t>蓝光检测</w:t>
            </w:r>
            <w:r>
              <w:rPr>
                <w:rFonts w:hint="eastAsia" w:ascii="宋体" w:hAnsi="宋体" w:cs="宋体"/>
                <w:bCs/>
                <w:szCs w:val="21"/>
              </w:rPr>
              <w:tab/>
            </w:r>
            <w:r>
              <w:rPr>
                <w:rFonts w:hint="eastAsia" w:ascii="宋体" w:hAnsi="宋体" w:cs="宋体"/>
                <w:bCs/>
                <w:szCs w:val="21"/>
              </w:rPr>
              <w:t>为了观众身体不受蓝光伤害，LED显示屏必须通过蓝光无风险危害检测</w:t>
            </w:r>
          </w:p>
          <w:p>
            <w:pPr>
              <w:numPr>
                <w:ilvl w:val="0"/>
                <w:numId w:val="0"/>
              </w:numPr>
              <w:spacing w:line="360" w:lineRule="auto"/>
              <w:ind w:leftChars="0"/>
              <w:jc w:val="left"/>
              <w:rPr>
                <w:rFonts w:ascii="宋体" w:hAnsi="宋体" w:cs="宋体"/>
                <w:bCs/>
                <w:szCs w:val="21"/>
              </w:rPr>
            </w:pPr>
            <w:r>
              <w:rPr>
                <w:rFonts w:hint="eastAsia" w:ascii="宋体" w:hAnsi="宋体" w:cs="宋体"/>
                <w:bCs/>
                <w:szCs w:val="21"/>
              </w:rPr>
              <w:tab/>
            </w:r>
          </w:p>
          <w:p>
            <w:pPr>
              <w:spacing w:line="360" w:lineRule="auto"/>
              <w:rPr>
                <w:rFonts w:ascii="宋体" w:hAnsi="宋体" w:cs="宋体"/>
                <w:bCs/>
                <w:szCs w:val="21"/>
              </w:rPr>
            </w:pPr>
            <w:r>
              <w:rPr>
                <w:rFonts w:hint="eastAsia" w:ascii="宋体" w:hAnsi="宋体" w:cs="宋体"/>
                <w:bCs/>
                <w:szCs w:val="21"/>
              </w:rPr>
              <w:t>以上参数本项标有★的技术参数需提供由国家权威机构</w:t>
            </w:r>
            <w:r>
              <w:rPr>
                <w:rFonts w:hint="eastAsia" w:ascii="宋体" w:hAnsi="宋体" w:cs="宋体"/>
                <w:bCs/>
                <w:szCs w:val="21"/>
                <w:lang w:val="en-US" w:eastAsia="zh-CN"/>
              </w:rPr>
              <w:t>ilac-</w:t>
            </w:r>
            <w:r>
              <w:rPr>
                <w:rFonts w:hint="eastAsia" w:ascii="宋体" w:hAnsi="宋体" w:cs="宋体"/>
                <w:bCs/>
                <w:szCs w:val="21"/>
              </w:rPr>
              <w:t>MRA CNAS认证并出具的检测报告复印件并加盖原厂公章复印件备查。</w:t>
            </w:r>
          </w:p>
          <w:p>
            <w:pPr>
              <w:pStyle w:val="36"/>
              <w:numPr>
                <w:ilvl w:val="0"/>
                <w:numId w:val="5"/>
              </w:numPr>
              <w:spacing w:line="360" w:lineRule="auto"/>
              <w:ind w:firstLineChars="0"/>
              <w:rPr>
                <w:rFonts w:ascii="宋体" w:hAnsi="宋体" w:cs="宋体"/>
                <w:bCs/>
                <w:szCs w:val="21"/>
              </w:rPr>
            </w:pPr>
            <w:r>
              <w:rPr>
                <w:rFonts w:hint="eastAsia" w:ascii="宋体" w:hAnsi="宋体" w:cs="宋体"/>
                <w:bCs/>
                <w:szCs w:val="21"/>
              </w:rPr>
              <w:t>生产厂商通过3C认证（提供有效的证书复印件，加盖制造商公章）</w:t>
            </w:r>
          </w:p>
          <w:p>
            <w:pPr>
              <w:numPr>
                <w:ilvl w:val="0"/>
                <w:numId w:val="0"/>
              </w:numPr>
              <w:spacing w:line="360" w:lineRule="auto"/>
              <w:ind w:leftChars="0"/>
              <w:jc w:val="left"/>
              <w:rPr>
                <w:rFonts w:ascii="宋体" w:hAnsi="宋体" w:cs="宋体"/>
                <w:bCs/>
                <w:szCs w:val="21"/>
              </w:rPr>
            </w:pPr>
            <w:r>
              <w:rPr>
                <w:rFonts w:hint="eastAsia" w:ascii="宋体" w:hAnsi="宋体" w:cs="宋体"/>
                <w:bCs/>
                <w:color w:val="auto"/>
                <w:szCs w:val="21"/>
                <w:lang w:val="en-US" w:eastAsia="zh-CN"/>
              </w:rPr>
              <w:t>2、</w:t>
            </w:r>
            <w:r>
              <w:rPr>
                <w:rFonts w:hint="eastAsia" w:ascii="宋体" w:hAnsi="宋体" w:cs="宋体"/>
                <w:bCs/>
                <w:szCs w:val="21"/>
              </w:rPr>
              <w:t>中国环境标志（II型）产品认证证书</w:t>
            </w:r>
            <w:r>
              <w:rPr>
                <w:rFonts w:hint="eastAsia" w:ascii="宋体" w:hAnsi="宋体" w:cs="宋体"/>
                <w:bCs/>
                <w:szCs w:val="21"/>
                <w:lang w:val="en-US" w:eastAsia="zh-CN"/>
              </w:rPr>
              <w:t xml:space="preserve">   </w:t>
            </w:r>
            <w:r>
              <w:rPr>
                <w:rFonts w:hint="eastAsia" w:ascii="宋体" w:hAnsi="宋体" w:cs="宋体"/>
                <w:bCs/>
                <w:szCs w:val="21"/>
              </w:rPr>
              <w:t>提供安全生产标准化证书（提供有效的证书复印件，加盖制造商公章）</w:t>
            </w:r>
          </w:p>
          <w:p>
            <w:pPr>
              <w:pStyle w:val="36"/>
              <w:numPr>
                <w:ilvl w:val="0"/>
                <w:numId w:val="0"/>
              </w:numPr>
              <w:spacing w:line="360" w:lineRule="auto"/>
              <w:ind w:leftChars="0"/>
              <w:rPr>
                <w:rFonts w:ascii="宋体" w:hAnsi="宋体" w:cs="宋体"/>
                <w:bCs/>
                <w:szCs w:val="21"/>
              </w:rPr>
            </w:pPr>
            <w:r>
              <w:rPr>
                <w:rFonts w:hint="eastAsia" w:ascii="宋体" w:hAnsi="宋体" w:cs="宋体"/>
                <w:bCs/>
                <w:szCs w:val="21"/>
                <w:lang w:val="en-US" w:eastAsia="zh-CN"/>
              </w:rPr>
              <w:t>4、</w:t>
            </w:r>
            <w:r>
              <w:rPr>
                <w:rFonts w:hint="eastAsia" w:ascii="宋体" w:hAnsi="宋体" w:cs="宋体"/>
                <w:color w:val="auto"/>
                <w:sz w:val="24"/>
                <w:szCs w:val="24"/>
                <w:lang w:val="en-US" w:eastAsia="zh-CN"/>
              </w:rPr>
              <w:t>要求所投的LED显示屏生产制造商具备良好的售后服务能力，其售后服务能力需达到GB/T27922-2011规定的五星级要求。</w:t>
            </w:r>
            <w:r>
              <w:rPr>
                <w:rFonts w:hint="eastAsia" w:ascii="宋体" w:hAnsi="宋体" w:cs="宋体"/>
                <w:bCs/>
                <w:color w:val="auto"/>
                <w:szCs w:val="21"/>
                <w:highlight w:val="none"/>
              </w:rPr>
              <w:t>（提供相关证书复印件并加盖制造商公章）</w:t>
            </w:r>
          </w:p>
          <w:p>
            <w:pPr>
              <w:numPr>
                <w:ilvl w:val="0"/>
                <w:numId w:val="0"/>
              </w:numPr>
              <w:spacing w:line="360" w:lineRule="auto"/>
              <w:ind w:leftChars="0"/>
              <w:jc w:val="left"/>
              <w:rPr>
                <w:rFonts w:ascii="宋体" w:hAnsi="宋体" w:cs="宋体"/>
                <w:bCs/>
                <w:color w:val="auto"/>
                <w:szCs w:val="21"/>
              </w:rPr>
            </w:pPr>
            <w:r>
              <w:rPr>
                <w:rFonts w:hint="eastAsia" w:ascii="宋体" w:hAnsi="宋体" w:cs="宋体"/>
                <w:bCs/>
                <w:szCs w:val="21"/>
                <w:lang w:val="en-US" w:eastAsia="zh-CN"/>
              </w:rPr>
              <w:t>5</w:t>
            </w:r>
            <w:r>
              <w:rPr>
                <w:rFonts w:hint="eastAsia" w:ascii="宋体" w:hAnsi="宋体" w:cs="宋体"/>
                <w:bCs/>
                <w:color w:val="auto"/>
                <w:szCs w:val="21"/>
                <w:lang w:val="en-US" w:eastAsia="zh-CN"/>
              </w:rPr>
              <w:t>、所投产品是</w:t>
            </w:r>
            <w:r>
              <w:rPr>
                <w:rFonts w:hint="eastAsia" w:ascii="宋体" w:hAnsi="宋体" w:cs="宋体"/>
                <w:bCs/>
                <w:color w:val="auto"/>
                <w:szCs w:val="21"/>
              </w:rPr>
              <w:t>一种新型炫彩LED显示屏单元板</w:t>
            </w:r>
            <w:r>
              <w:rPr>
                <w:rFonts w:hint="eastAsia" w:ascii="宋体" w:hAnsi="宋体" w:cs="宋体"/>
                <w:bCs/>
                <w:color w:val="auto"/>
                <w:szCs w:val="21"/>
                <w:lang w:val="en-US" w:eastAsia="zh-CN"/>
              </w:rPr>
              <w:t>并提供相应的认证证书</w:t>
            </w:r>
            <w:r>
              <w:rPr>
                <w:rFonts w:hint="eastAsia" w:ascii="宋体" w:hAnsi="宋体" w:cs="宋体"/>
                <w:bCs/>
                <w:color w:val="auto"/>
                <w:szCs w:val="21"/>
              </w:rPr>
              <w:tab/>
            </w:r>
            <w:r>
              <w:rPr>
                <w:rFonts w:hint="eastAsia" w:ascii="宋体" w:hAnsi="宋体" w:cs="宋体"/>
                <w:bCs/>
                <w:color w:val="auto"/>
                <w:szCs w:val="21"/>
              </w:rPr>
              <w:t>（提供有效的证书复印件，加盖制造商公章）</w:t>
            </w:r>
          </w:p>
          <w:p>
            <w:pPr>
              <w:pStyle w:val="36"/>
              <w:numPr>
                <w:ilvl w:val="0"/>
                <w:numId w:val="0"/>
              </w:numPr>
              <w:spacing w:line="360" w:lineRule="auto"/>
              <w:ind w:leftChars="0"/>
              <w:rPr>
                <w:rFonts w:ascii="宋体" w:hAnsi="宋体" w:cs="宋体"/>
                <w:bCs/>
                <w:color w:val="auto"/>
                <w:szCs w:val="21"/>
              </w:rPr>
            </w:pPr>
            <w:r>
              <w:rPr>
                <w:rFonts w:hint="eastAsia" w:ascii="宋体" w:hAnsi="宋体" w:cs="宋体"/>
                <w:bCs/>
                <w:color w:val="auto"/>
                <w:szCs w:val="21"/>
                <w:lang w:val="en-US" w:eastAsia="zh-CN"/>
              </w:rPr>
              <w:t>6、</w:t>
            </w:r>
            <w:r>
              <w:rPr>
                <w:rFonts w:hint="eastAsia" w:ascii="宋体" w:hAnsi="宋体" w:cs="宋体"/>
                <w:bCs/>
                <w:color w:val="auto"/>
                <w:szCs w:val="21"/>
              </w:rPr>
              <w:t>产品具备防碰撞焊盘技术（提供检测报告复印件并加盖制造商公章）</w:t>
            </w:r>
          </w:p>
          <w:p>
            <w:pPr>
              <w:pStyle w:val="36"/>
              <w:numPr>
                <w:ilvl w:val="0"/>
                <w:numId w:val="0"/>
              </w:numPr>
              <w:spacing w:line="360" w:lineRule="auto"/>
              <w:ind w:leftChars="0"/>
              <w:rPr>
                <w:rFonts w:ascii="宋体" w:hAnsi="宋体" w:cs="宋体"/>
                <w:bCs/>
                <w:color w:val="auto"/>
                <w:szCs w:val="21"/>
              </w:rPr>
            </w:pPr>
            <w:r>
              <w:rPr>
                <w:rFonts w:hint="eastAsia" w:ascii="宋体" w:hAnsi="宋体" w:cs="宋体"/>
                <w:bCs/>
                <w:color w:val="auto"/>
                <w:szCs w:val="21"/>
                <w:lang w:val="en-US" w:eastAsia="zh-CN"/>
              </w:rPr>
              <w:t>7、</w:t>
            </w:r>
            <w:r>
              <w:rPr>
                <w:rFonts w:hint="eastAsia" w:ascii="宋体" w:hAnsi="宋体" w:cs="宋体"/>
                <w:bCs/>
                <w:color w:val="auto"/>
                <w:szCs w:val="21"/>
              </w:rPr>
              <w:t>生产厂商具有GJB9001C-20</w:t>
            </w:r>
            <w:r>
              <w:rPr>
                <w:rFonts w:hint="eastAsia" w:ascii="宋体" w:hAnsi="宋体" w:cs="宋体"/>
                <w:bCs/>
                <w:color w:val="auto"/>
                <w:szCs w:val="21"/>
                <w:lang w:val="en-US" w:eastAsia="zh-CN"/>
              </w:rPr>
              <w:t>17国军标</w:t>
            </w:r>
            <w:r>
              <w:rPr>
                <w:rFonts w:hint="eastAsia" w:ascii="宋体" w:hAnsi="宋体" w:cs="宋体"/>
                <w:bCs/>
                <w:color w:val="auto"/>
                <w:szCs w:val="21"/>
              </w:rPr>
              <w:t>管理体系证书。（提供相关证书复印件并加盖制造商公章）</w:t>
            </w:r>
          </w:p>
          <w:p>
            <w:pPr>
              <w:numPr>
                <w:ilvl w:val="0"/>
                <w:numId w:val="0"/>
              </w:numPr>
              <w:spacing w:line="360" w:lineRule="auto"/>
              <w:ind w:leftChars="0"/>
              <w:jc w:val="left"/>
              <w:rPr>
                <w:rFonts w:ascii="宋体" w:hAnsi="宋体" w:cs="宋体"/>
                <w:bCs/>
                <w:szCs w:val="21"/>
              </w:rPr>
            </w:pPr>
          </w:p>
          <w:p>
            <w:pPr>
              <w:pStyle w:val="36"/>
              <w:numPr>
                <w:ilvl w:val="0"/>
                <w:numId w:val="0"/>
              </w:numPr>
              <w:spacing w:line="360" w:lineRule="auto"/>
              <w:ind w:leftChars="0"/>
              <w:rPr>
                <w:rFonts w:ascii="宋体" w:hAnsi="宋体" w:cs="宋体"/>
                <w:bCs/>
                <w:szCs w:val="21"/>
              </w:rPr>
            </w:pPr>
            <w:r>
              <w:rPr>
                <w:rFonts w:hint="eastAsia" w:ascii="宋体" w:hAnsi="宋体" w:cs="宋体"/>
                <w:bCs/>
                <w:szCs w:val="21"/>
                <w:lang w:val="en-US" w:eastAsia="zh-CN"/>
              </w:rPr>
              <w:t>8、</w:t>
            </w:r>
            <w:r>
              <w:rPr>
                <w:rFonts w:hint="eastAsia" w:ascii="宋体" w:hAnsi="宋体" w:cs="宋体"/>
                <w:bCs/>
                <w:szCs w:val="21"/>
              </w:rPr>
              <w:t>为了保证客户室内安全无火灾隐患，LED显示屏产品必须通过国家防火阻燃最高标准V-0级（（提供检测报告复印件并加盖制造商公章）</w:t>
            </w:r>
          </w:p>
          <w:p>
            <w:pPr>
              <w:pStyle w:val="36"/>
              <w:numPr>
                <w:ilvl w:val="0"/>
                <w:numId w:val="0"/>
              </w:numPr>
              <w:spacing w:line="360" w:lineRule="auto"/>
              <w:ind w:leftChars="0"/>
              <w:rPr>
                <w:rFonts w:ascii="宋体" w:hAnsi="宋体" w:cs="宋体"/>
                <w:bCs/>
                <w:color w:val="auto"/>
                <w:szCs w:val="21"/>
              </w:rPr>
            </w:pPr>
            <w:r>
              <w:rPr>
                <w:rFonts w:hint="eastAsia" w:ascii="宋体" w:hAnsi="宋体" w:cs="宋体"/>
                <w:bCs/>
                <w:color w:val="auto"/>
                <w:szCs w:val="21"/>
                <w:lang w:val="en-US" w:eastAsia="zh-CN"/>
              </w:rPr>
              <w:t>9、</w:t>
            </w:r>
            <w:r>
              <w:rPr>
                <w:rFonts w:hint="eastAsia" w:ascii="宋体" w:hAnsi="宋体" w:cs="宋体"/>
                <w:bCs/>
                <w:color w:val="auto"/>
                <w:szCs w:val="21"/>
              </w:rPr>
              <w:t>为了产品安全可靠，</w:t>
            </w:r>
            <w:r>
              <w:rPr>
                <w:rFonts w:hint="eastAsia"/>
                <w:color w:val="auto"/>
              </w:rPr>
              <w:t>所投LED显示屏制造商需要具有国家级部门机构联合认定的国家级认定企业技术中心资质，并参与过国家火炬计划项目</w:t>
            </w:r>
            <w:r>
              <w:rPr>
                <w:rFonts w:hint="eastAsia"/>
                <w:color w:val="auto"/>
                <w:lang w:eastAsia="zh-CN"/>
              </w:rPr>
              <w:t>，</w:t>
            </w:r>
            <w:r>
              <w:rPr>
                <w:rFonts w:hint="eastAsia"/>
                <w:color w:val="auto"/>
              </w:rPr>
              <w:t>并提供相应的证书。（提供相关复印件，加盖制造商公章）（作为加分项）</w:t>
            </w:r>
          </w:p>
          <w:p>
            <w:pPr>
              <w:numPr>
                <w:ilvl w:val="0"/>
                <w:numId w:val="0"/>
              </w:numPr>
              <w:spacing w:line="360" w:lineRule="auto"/>
              <w:ind w:leftChars="0"/>
              <w:jc w:val="left"/>
              <w:rPr>
                <w:rFonts w:ascii="宋体" w:hAnsi="宋体" w:cs="宋体"/>
                <w:bCs/>
                <w:color w:val="FF0000"/>
                <w:szCs w:val="21"/>
              </w:rPr>
            </w:pPr>
            <w:r>
              <w:rPr>
                <w:rFonts w:hint="eastAsia" w:ascii="宋体" w:hAnsi="宋体" w:cs="宋体"/>
                <w:bCs/>
                <w:szCs w:val="21"/>
                <w:lang w:val="en-US" w:eastAsia="zh-CN"/>
              </w:rPr>
              <w:t>10、</w:t>
            </w:r>
            <w:r>
              <w:rPr>
                <w:rFonts w:hint="eastAsia" w:ascii="宋体" w:hAnsi="宋体" w:cs="宋体"/>
                <w:bCs/>
                <w:color w:val="auto"/>
                <w:szCs w:val="21"/>
              </w:rPr>
              <w:t>提供两化融合管理体系评定证书（提供有效的证书复印件，加盖制造商公章）</w:t>
            </w:r>
          </w:p>
          <w:p>
            <w:pPr>
              <w:numPr>
                <w:ilvl w:val="0"/>
                <w:numId w:val="0"/>
              </w:numPr>
              <w:spacing w:line="360" w:lineRule="auto"/>
              <w:ind w:leftChars="0"/>
              <w:jc w:val="left"/>
              <w:rPr>
                <w:rFonts w:ascii="宋体" w:hAnsi="宋体" w:cs="宋体"/>
                <w:bCs/>
                <w:color w:val="auto"/>
                <w:szCs w:val="21"/>
              </w:rPr>
            </w:pPr>
            <w:r>
              <w:rPr>
                <w:rFonts w:hint="eastAsia" w:ascii="宋体" w:hAnsi="宋体" w:cs="宋体"/>
                <w:bCs/>
                <w:szCs w:val="21"/>
                <w:lang w:val="en-US" w:eastAsia="zh-CN"/>
              </w:rPr>
              <w:t>11</w:t>
            </w:r>
            <w:r>
              <w:rPr>
                <w:rFonts w:hint="eastAsia" w:ascii="宋体" w:hAnsi="宋体" w:cs="宋体"/>
                <w:bCs/>
                <w:color w:val="auto"/>
                <w:szCs w:val="21"/>
                <w:lang w:val="en-US" w:eastAsia="zh-CN"/>
              </w:rPr>
              <w:t>、</w:t>
            </w:r>
            <w:r>
              <w:rPr>
                <w:rFonts w:hint="eastAsia" w:ascii="宋体" w:hAnsi="宋体" w:cs="宋体"/>
                <w:bCs/>
                <w:color w:val="auto"/>
                <w:szCs w:val="21"/>
              </w:rPr>
              <w:t>LED显示屏的研发、生产、销售、的知识产权管理，管理体系符合(GB/T29490-2013)</w:t>
            </w:r>
            <w:r>
              <w:rPr>
                <w:rFonts w:hint="eastAsia" w:ascii="宋体" w:hAnsi="宋体" w:cs="宋体"/>
                <w:bCs/>
                <w:color w:val="auto"/>
                <w:szCs w:val="21"/>
              </w:rPr>
              <w:tab/>
            </w:r>
            <w:r>
              <w:rPr>
                <w:rFonts w:ascii="宋体" w:hAnsi="宋体" w:cs="宋体"/>
                <w:bCs/>
                <w:color w:val="auto"/>
                <w:szCs w:val="21"/>
              </w:rPr>
              <w:tab/>
            </w:r>
          </w:p>
          <w:p>
            <w:pPr>
              <w:numPr>
                <w:ilvl w:val="0"/>
                <w:numId w:val="0"/>
              </w:numPr>
              <w:spacing w:line="360" w:lineRule="auto"/>
              <w:ind w:leftChars="0"/>
              <w:jc w:val="left"/>
              <w:rPr>
                <w:rFonts w:hint="eastAsia" w:ascii="宋体" w:hAnsi="宋体" w:cs="宋体"/>
                <w:bCs/>
                <w:color w:val="auto"/>
                <w:szCs w:val="21"/>
              </w:rPr>
            </w:pPr>
            <w:r>
              <w:rPr>
                <w:rFonts w:hint="eastAsia" w:ascii="宋体" w:hAnsi="宋体" w:cs="宋体"/>
                <w:bCs/>
                <w:color w:val="auto"/>
                <w:szCs w:val="21"/>
                <w:lang w:val="en-US" w:eastAsia="zh-CN"/>
              </w:rPr>
              <w:t>12、所投产品所投产品具备虚拟全彩LED显示屏及显示控制方法，</w:t>
            </w:r>
            <w:r>
              <w:rPr>
                <w:rFonts w:hint="eastAsia" w:ascii="宋体" w:hAnsi="宋体" w:cs="宋体"/>
                <w:bCs/>
                <w:color w:val="auto"/>
                <w:szCs w:val="21"/>
              </w:rPr>
              <w:t>一种LED显示屏消隐控制电路</w:t>
            </w:r>
            <w:r>
              <w:rPr>
                <w:rFonts w:hint="eastAsia" w:ascii="宋体" w:hAnsi="宋体" w:cs="宋体"/>
                <w:bCs/>
                <w:color w:val="auto"/>
                <w:szCs w:val="21"/>
                <w:lang w:val="en-US" w:eastAsia="zh-CN"/>
              </w:rPr>
              <w:t>并提供相应的认证证书</w:t>
            </w:r>
            <w:r>
              <w:rPr>
                <w:rFonts w:hint="eastAsia" w:ascii="宋体" w:hAnsi="宋体" w:cs="宋体"/>
                <w:bCs/>
                <w:color w:val="auto"/>
                <w:szCs w:val="21"/>
              </w:rPr>
              <w:t>（提供有效的证书复印件，加盖制造商公章）</w:t>
            </w:r>
          </w:p>
          <w:p>
            <w:pPr>
              <w:numPr>
                <w:ilvl w:val="0"/>
                <w:numId w:val="0"/>
              </w:numPr>
              <w:spacing w:line="360" w:lineRule="auto"/>
              <w:ind w:leftChars="0"/>
              <w:jc w:val="left"/>
              <w:rPr>
                <w:rFonts w:hint="eastAsia" w:ascii="宋体" w:hAnsi="宋体" w:cs="宋体"/>
                <w:sz w:val="24"/>
              </w:rPr>
            </w:pPr>
            <w:r>
              <w:rPr>
                <w:rFonts w:hint="eastAsia" w:ascii="宋体" w:hAnsi="宋体" w:cs="宋体"/>
                <w:bCs/>
                <w:szCs w:val="21"/>
                <w:lang w:val="en-US" w:eastAsia="zh-CN"/>
              </w:rPr>
              <w:t>13、</w:t>
            </w:r>
            <w:r>
              <w:rPr>
                <w:rFonts w:hint="eastAsia" w:ascii="宋体" w:hAnsi="宋体" w:cs="宋体"/>
                <w:sz w:val="24"/>
              </w:rPr>
              <w:t>要求投标人所投LED显示屏生产厂家须通过</w:t>
            </w:r>
            <w:r>
              <w:rPr>
                <w:rFonts w:hint="eastAsia" w:ascii="宋体" w:hAnsi="宋体" w:cs="宋体"/>
                <w:color w:val="auto"/>
                <w:sz w:val="24"/>
                <w:lang w:val="en-US" w:eastAsia="zh-CN"/>
              </w:rPr>
              <w:t>ISO45001</w:t>
            </w:r>
            <w:r>
              <w:rPr>
                <w:rFonts w:hint="eastAsia" w:ascii="宋体" w:hAnsi="宋体" w:cs="宋体"/>
                <w:sz w:val="24"/>
              </w:rPr>
              <w:t>职业健康管理体系认证。</w:t>
            </w:r>
          </w:p>
          <w:p>
            <w:pPr>
              <w:numPr>
                <w:ilvl w:val="0"/>
                <w:numId w:val="0"/>
              </w:numPr>
              <w:spacing w:line="360" w:lineRule="auto"/>
              <w:ind w:leftChars="0"/>
              <w:jc w:val="left"/>
              <w:rPr>
                <w:rFonts w:cs="宋体" w:asciiTheme="minorEastAsia" w:hAnsiTheme="minorEastAsia" w:eastAsiaTheme="minorEastAsia"/>
                <w:bCs/>
                <w:szCs w:val="21"/>
              </w:rPr>
            </w:pPr>
            <w:r>
              <w:rPr>
                <w:rFonts w:hint="eastAsia" w:ascii="宋体" w:hAnsi="宋体" w:cs="宋体"/>
                <w:bCs/>
                <w:color w:val="auto"/>
                <w:szCs w:val="21"/>
              </w:rPr>
              <w:t>为了产品供货渠道合法需提供厂家授权书和售后</w:t>
            </w:r>
            <w:r>
              <w:rPr>
                <w:rFonts w:hint="eastAsia" w:ascii="宋体" w:hAnsi="宋体" w:cs="宋体"/>
                <w:bCs/>
                <w:color w:val="auto"/>
                <w:szCs w:val="21"/>
                <w:lang w:val="en-US" w:eastAsia="zh-CN"/>
              </w:rPr>
              <w:t>服务</w:t>
            </w:r>
            <w:r>
              <w:rPr>
                <w:rFonts w:hint="eastAsia" w:ascii="宋体" w:hAnsi="宋体" w:cs="宋体"/>
                <w:bCs/>
                <w:color w:val="auto"/>
                <w:szCs w:val="21"/>
              </w:rPr>
              <w:t>承诺书</w:t>
            </w:r>
            <w:r>
              <w:rPr>
                <w:rFonts w:hint="eastAsia" w:ascii="宋体" w:hAnsi="宋体" w:cs="宋体"/>
                <w:bCs/>
                <w:color w:val="auto"/>
                <w:szCs w:val="21"/>
              </w:rPr>
              <w:tab/>
            </w:r>
          </w:p>
        </w:tc>
      </w:tr>
      <w:tr>
        <w:tblPrEx>
          <w:tblLayout w:type="fixed"/>
          <w:tblCellMar>
            <w:top w:w="0" w:type="dxa"/>
            <w:left w:w="0" w:type="dxa"/>
            <w:bottom w:w="0" w:type="dxa"/>
            <w:right w:w="0" w:type="dxa"/>
          </w:tblCellMar>
        </w:tblPrEx>
        <w:trPr>
          <w:trHeight w:val="570" w:hRule="atLeast"/>
        </w:trPr>
        <w:tc>
          <w:tcPr>
            <w:tcW w:w="86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Cs/>
                <w:szCs w:val="21"/>
              </w:rPr>
            </w:pPr>
            <w:r>
              <w:rPr>
                <w:rFonts w:hint="eastAsia" w:ascii="宋体" w:hAnsi="宋体" w:cs="宋体"/>
                <w:bCs/>
                <w:szCs w:val="21"/>
              </w:rPr>
              <w:t>NO.2</w:t>
            </w:r>
          </w:p>
        </w:tc>
        <w:tc>
          <w:tcPr>
            <w:tcW w:w="14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eastAsia" w:ascii="宋体" w:hAnsi="宋体" w:eastAsia="宋体" w:cs="宋体"/>
                <w:bCs/>
                <w:szCs w:val="21"/>
                <w:lang w:eastAsia="zh-CN"/>
              </w:rPr>
            </w:pPr>
            <w:r>
              <w:rPr>
                <w:rFonts w:hint="eastAsia" w:ascii="宋体" w:hAnsi="宋体" w:cs="宋体"/>
                <w:bCs/>
                <w:szCs w:val="21"/>
                <w:lang w:val="en-US" w:eastAsia="zh-CN"/>
              </w:rPr>
              <w:t>接收卡</w:t>
            </w:r>
          </w:p>
        </w:tc>
        <w:tc>
          <w:tcPr>
            <w:tcW w:w="76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340" w:lineRule="exact"/>
              <w:jc w:val="left"/>
              <w:rPr>
                <w:rFonts w:hint="eastAsia"/>
                <w:color w:val="404040" w:themeColor="text1" w:themeTint="BF"/>
                <w14:textFill>
                  <w14:solidFill>
                    <w14:schemeClr w14:val="tx1">
                      <w14:lumMod w14:val="75000"/>
                      <w14:lumOff w14:val="25000"/>
                    </w14:schemeClr>
                  </w14:solidFill>
                </w14:textFill>
              </w:rPr>
            </w:pPr>
            <w:r>
              <w:rPr>
                <w:rFonts w:hint="eastAsia"/>
                <w:color w:val="404040" w:themeColor="text1" w:themeTint="BF"/>
                <w:lang w:val="en-US" w:eastAsia="zh-CN"/>
                <w14:textFill>
                  <w14:solidFill>
                    <w14:schemeClr w14:val="tx1">
                      <w14:lumMod w14:val="75000"/>
                      <w14:lumOff w14:val="25000"/>
                    </w14:schemeClr>
                  </w14:solidFill>
                </w14:textFill>
              </w:rPr>
              <w:t>1</w:t>
            </w:r>
            <w:r>
              <w:rPr>
                <w:rFonts w:hint="eastAsia"/>
                <w:color w:val="404040" w:themeColor="text1" w:themeTint="BF"/>
                <w14:textFill>
                  <w14:solidFill>
                    <w14:schemeClr w14:val="tx1">
                      <w14:lumMod w14:val="75000"/>
                      <w14:lumOff w14:val="25000"/>
                    </w14:schemeClr>
                  </w14:solidFill>
                </w14:textFill>
              </w:rPr>
              <w:t>、集成12路HUB75接口，无需再配转接板，更方便，成本更低</w:t>
            </w:r>
          </w:p>
          <w:p>
            <w:pPr>
              <w:numPr>
                <w:ilvl w:val="0"/>
                <w:numId w:val="5"/>
              </w:numPr>
              <w:spacing w:line="340" w:lineRule="exact"/>
              <w:ind w:left="0" w:leftChars="0" w:firstLine="0" w:firstLineChars="0"/>
              <w:jc w:val="left"/>
              <w:rPr>
                <w:rFonts w:hint="eastAsia"/>
                <w:color w:val="404040" w:themeColor="text1" w:themeTint="BF"/>
                <w14:textFill>
                  <w14:solidFill>
                    <w14:schemeClr w14:val="tx1">
                      <w14:lumMod w14:val="75000"/>
                      <w14:lumOff w14:val="25000"/>
                    </w14:schemeClr>
                  </w14:solidFill>
                </w14:textFill>
              </w:rPr>
            </w:pPr>
            <w:r>
              <w:rPr>
                <w:rFonts w:hint="eastAsia"/>
                <w:color w:val="404040" w:themeColor="text1" w:themeTint="BF"/>
                <w14:textFill>
                  <w14:solidFill>
                    <w14:schemeClr w14:val="tx1">
                      <w14:lumMod w14:val="75000"/>
                      <w14:lumOff w14:val="25000"/>
                    </w14:schemeClr>
                  </w14:solidFill>
                </w14:textFill>
              </w:rPr>
              <w:t>减少接插连接件，减少故障点，故障率更低；</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3、支持常规芯片实现高刷新、高灰度、高亮度</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4、支持市场主流常规芯片、PWM芯片、士兰芯片</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5、全新灰度引擎，低灰度表现更佳</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6、可消除单元板设计引起的某行偏暗、低灰偏红、鬼影等细节问题</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7、支持高精度的色度、亮度一体化逐点校正</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8、支持静态到18扫之间的任意扫描类型</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9、支持灵活抽点、抽行抽列、数据组偏移，可轻松实现各种异型屏、创意显示屏</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10、单卡支持24组RGB信号输出</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11、支持箱体标定标序</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12、支持超大带载面积</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13、支持DC 3.8V~5.5V超宽工作电压</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★支持SELV电路，正常工作条件下和出现单一故障后，SELV 电路所呈现的电压不超过42.4V 交流峰值电压或60V 直流值；需提供具有CMA、CNAS、ilac-MRA认证标识的第三方厂家检测报告，并加盖供应商鲜章；</w:t>
            </w:r>
          </w:p>
          <w:p>
            <w:pPr>
              <w:numPr>
                <w:ilvl w:val="0"/>
                <w:numId w:val="0"/>
              </w:numPr>
              <w:spacing w:line="340" w:lineRule="exact"/>
              <w:ind w:leftChars="0"/>
              <w:jc w:val="left"/>
              <w:rPr>
                <w:rFonts w:hint="eastAsia" w:asciiTheme="minorEastAsia" w:hAnsiTheme="minorEastAsia" w:eastAsiaTheme="minorEastAsia"/>
                <w:color w:val="FF0000"/>
              </w:rPr>
            </w:pPr>
            <w:r>
              <w:rPr>
                <w:rFonts w:hint="eastAsia"/>
                <w:color w:val="404040" w:themeColor="text1" w:themeTint="BF"/>
                <w14:textFill>
                  <w14:solidFill>
                    <w14:schemeClr w14:val="tx1">
                      <w14:lumMod w14:val="75000"/>
                      <w14:lumOff w14:val="25000"/>
                    </w14:schemeClr>
                  </w14:solidFill>
                </w14:textFill>
              </w:rPr>
              <w:t>★支持8bit/10bit/12bit 视频输入。需提供具有CMA、CNAS、ilac-MRA认证标识的第三方厂家检测报告，并加盖供应商鲜章；</w:t>
            </w:r>
          </w:p>
          <w:p>
            <w:pPr>
              <w:numPr>
                <w:ilvl w:val="0"/>
                <w:numId w:val="0"/>
              </w:numPr>
              <w:spacing w:line="340" w:lineRule="exact"/>
              <w:ind w:leftChars="0"/>
              <w:jc w:val="left"/>
              <w:rPr>
                <w:rFonts w:hint="eastAsia"/>
                <w:color w:val="404040" w:themeColor="text1" w:themeTint="BF"/>
                <w14:textFill>
                  <w14:solidFill>
                    <w14:schemeClr w14:val="tx1">
                      <w14:lumMod w14:val="75000"/>
                      <w14:lumOff w14:val="25000"/>
                    </w14:schemeClr>
                  </w14:solidFill>
                </w14:textFill>
              </w:rPr>
            </w:pPr>
            <w:r>
              <w:rPr>
                <w:rFonts w:hint="eastAsia"/>
                <w:color w:val="404040" w:themeColor="text1" w:themeTint="BF"/>
                <w14:textFill>
                  <w14:solidFill>
                    <w14:schemeClr w14:val="tx1">
                      <w14:lumMod w14:val="75000"/>
                      <w14:lumOff w14:val="25000"/>
                    </w14:schemeClr>
                  </w14:solidFill>
                </w14:textFill>
              </w:rPr>
              <w:t>★支持 HDR10/HLG 两种HDR 视频标准，还原真实HDR 视觉效果。需提供具有CMA、CNAS、ilac-MRA认证标识的第三方厂家检测报告，并加盖供应商鲜章；</w:t>
            </w:r>
          </w:p>
          <w:p>
            <w:pPr>
              <w:numPr>
                <w:ilvl w:val="0"/>
                <w:numId w:val="0"/>
              </w:numPr>
              <w:spacing w:line="340" w:lineRule="exact"/>
              <w:ind w:leftChars="0"/>
              <w:jc w:val="left"/>
              <w:rPr>
                <w:rFonts w:hint="eastAsia"/>
                <w:color w:val="404040" w:themeColor="text1" w:themeTint="BF"/>
                <w14:textFill>
                  <w14:solidFill>
                    <w14:schemeClr w14:val="tx1">
                      <w14:lumMod w14:val="75000"/>
                      <w14:lumOff w14:val="25000"/>
                    </w14:schemeClr>
                  </w14:solidFill>
                </w14:textFill>
              </w:rPr>
            </w:pPr>
            <w:r>
              <w:rPr>
                <w:rFonts w:hint="eastAsia"/>
                <w:color w:val="404040" w:themeColor="text1" w:themeTint="BF"/>
                <w14:textFill>
                  <w14:solidFill>
                    <w14:schemeClr w14:val="tx1">
                      <w14:lumMod w14:val="75000"/>
                      <w14:lumOff w14:val="25000"/>
                    </w14:schemeClr>
                  </w14:solidFill>
                </w14:textFill>
              </w:rPr>
              <w:t>★配合帧率倍频可以输出240Hz 画面，显示更流畅，需提供具有CMA、CNAS、ilac-MRA认证标识的第三方厂家检测报告，并加盖供应商鲜章；</w:t>
            </w:r>
          </w:p>
          <w:p>
            <w:pPr>
              <w:numPr>
                <w:ilvl w:val="0"/>
                <w:numId w:val="0"/>
              </w:numPr>
              <w:spacing w:line="340" w:lineRule="exact"/>
              <w:ind w:leftChars="0"/>
              <w:jc w:val="left"/>
              <w:rPr>
                <w:rFonts w:hint="eastAsia"/>
                <w:color w:val="404040" w:themeColor="text1" w:themeTint="BF"/>
                <w14:textFill>
                  <w14:solidFill>
                    <w14:schemeClr w14:val="tx1">
                      <w14:lumMod w14:val="75000"/>
                      <w14:lumOff w14:val="25000"/>
                    </w14:schemeClr>
                  </w14:solidFill>
                </w14:textFill>
              </w:rPr>
            </w:pPr>
            <w:r>
              <w:rPr>
                <w:rFonts w:hint="eastAsia"/>
                <w:color w:val="404040" w:themeColor="text1" w:themeTint="BF"/>
                <w14:textFill>
                  <w14:solidFill>
                    <w14:schemeClr w14:val="tx1">
                      <w14:lumMod w14:val="75000"/>
                      <w14:lumOff w14:val="25000"/>
                    </w14:schemeClr>
                  </w14:solidFill>
                </w14:textFill>
              </w:rPr>
              <w:t>★支持多层校正，解决非线性亮度变化导致的低灰色块和色温偏移问题，低亮和低灰画面更均衡；需提供具有CMA、CNAS、ilac-MRA认证标识的第三方厂家检测报告，并加盖供应商鲜章；</w:t>
            </w:r>
          </w:p>
          <w:p>
            <w:pPr>
              <w:numPr>
                <w:ilvl w:val="0"/>
                <w:numId w:val="0"/>
              </w:numPr>
              <w:spacing w:line="340" w:lineRule="exact"/>
              <w:ind w:leftChars="0"/>
              <w:jc w:val="left"/>
              <w:rPr>
                <w:rFonts w:hint="eastAsia"/>
                <w:color w:val="404040" w:themeColor="text1" w:themeTint="BF"/>
                <w14:textFill>
                  <w14:solidFill>
                    <w14:schemeClr w14:val="tx1">
                      <w14:lumMod w14:val="75000"/>
                      <w14:lumOff w14:val="25000"/>
                    </w14:schemeClr>
                  </w14:solidFill>
                </w14:textFill>
              </w:rPr>
            </w:pPr>
            <w:r>
              <w:rPr>
                <w:rFonts w:hint="eastAsia"/>
                <w:color w:val="404040" w:themeColor="text1" w:themeTint="BF"/>
                <w14:textFill>
                  <w14:solidFill>
                    <w14:schemeClr w14:val="tx1">
                      <w14:lumMod w14:val="75000"/>
                      <w14:lumOff w14:val="25000"/>
                    </w14:schemeClr>
                  </w14:solidFill>
                </w14:textFill>
              </w:rPr>
              <w:t>★固件程序回读，支持可以回读接收卡的固件程序并保存到本地；需提供具有CMA、CNAS、ilac-MRA认证标识的第三方厂家检测报告，并加盖供应商鲜章；</w:t>
            </w:r>
          </w:p>
          <w:p>
            <w:pPr>
              <w:numPr>
                <w:ilvl w:val="0"/>
                <w:numId w:val="0"/>
              </w:numPr>
              <w:spacing w:line="340" w:lineRule="exact"/>
              <w:ind w:leftChars="0"/>
              <w:jc w:val="left"/>
              <w:rPr>
                <w:rFonts w:hint="eastAsia" w:asciiTheme="minorEastAsia" w:hAnsiTheme="minorEastAsia" w:eastAsiaTheme="minorEastAsia"/>
                <w:color w:val="FF0000"/>
              </w:rPr>
            </w:pPr>
          </w:p>
        </w:tc>
      </w:tr>
      <w:tr>
        <w:tblPrEx>
          <w:tblLayout w:type="fixed"/>
          <w:tblCellMar>
            <w:top w:w="0" w:type="dxa"/>
            <w:left w:w="0" w:type="dxa"/>
            <w:bottom w:w="0" w:type="dxa"/>
            <w:right w:w="0" w:type="dxa"/>
          </w:tblCellMar>
        </w:tblPrEx>
        <w:trPr>
          <w:gridAfter w:val="1"/>
          <w:wAfter w:w="30" w:type="dxa"/>
          <w:trHeight w:val="570" w:hRule="atLeast"/>
        </w:trPr>
        <w:tc>
          <w:tcPr>
            <w:tcW w:w="866"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Cs/>
                <w:szCs w:val="21"/>
              </w:rPr>
            </w:pPr>
            <w:r>
              <w:rPr>
                <w:rFonts w:hint="eastAsia" w:ascii="宋体" w:hAnsi="宋体" w:cs="宋体"/>
                <w:bCs/>
                <w:szCs w:val="21"/>
              </w:rPr>
              <w:t>NO.3</w:t>
            </w:r>
          </w:p>
        </w:tc>
        <w:tc>
          <w:tcPr>
            <w:tcW w:w="14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rPr>
                <w:rFonts w:hint="default" w:ascii="宋体" w:hAnsi="宋体" w:eastAsia="宋体" w:cs="宋体"/>
                <w:bCs/>
                <w:szCs w:val="21"/>
                <w:lang w:val="en-US" w:eastAsia="zh-CN"/>
              </w:rPr>
            </w:pPr>
            <w:r>
              <w:rPr>
                <w:rFonts w:hint="eastAsia" w:ascii="宋体" w:hAnsi="宋体" w:cs="宋体"/>
                <w:bCs/>
                <w:szCs w:val="21"/>
                <w:lang w:val="en-US" w:eastAsia="zh-CN"/>
              </w:rPr>
              <w:t>视频处理器</w:t>
            </w:r>
          </w:p>
        </w:tc>
        <w:tc>
          <w:tcPr>
            <w:tcW w:w="7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spacing w:line="220" w:lineRule="atLeast"/>
              <w:rPr>
                <w:rFonts w:asciiTheme="minorEastAsia" w:hAnsiTheme="minorEastAsia" w:eastAsiaTheme="minorEastAsia"/>
                <w:color w:val="FF0000"/>
              </w:rPr>
            </w:pPr>
          </w:p>
          <w:p>
            <w:pPr>
              <w:pStyle w:val="38"/>
              <w:numPr>
                <w:ilvl w:val="0"/>
                <w:numId w:val="6"/>
              </w:numPr>
              <w:spacing w:line="220" w:lineRule="atLeast"/>
              <w:ind w:firstLineChars="0"/>
              <w:rPr>
                <w:rFonts w:asciiTheme="minorEastAsia" w:hAnsiTheme="minorEastAsia" w:eastAsiaTheme="minorEastAsia"/>
              </w:rPr>
            </w:pPr>
            <w:r>
              <w:rPr>
                <w:rFonts w:hint="eastAsia" w:asciiTheme="minorEastAsia" w:hAnsiTheme="minorEastAsia" w:eastAsiaTheme="minorEastAsia"/>
              </w:rPr>
              <w:t>专业级LED显示屏控制设备，具备强大的视频信号接收和处理能力，最大可接收1920×1200像素的高清数字信号；支持HDMI和DVI高清数字接口，多路信号间无缝切换；支持视频源任意缩放和裁剪。具备4个千兆网口输出，单机可支持最宽4096像素或最高2560像素的LED显示屏。同时，具备一系列丰富实用的功能，提供灵活的屏幕控制和高品质的图像显示，在LED媒体应用领域有显著优势。</w:t>
            </w:r>
          </w:p>
          <w:p>
            <w:pPr>
              <w:pStyle w:val="38"/>
              <w:numPr>
                <w:ilvl w:val="0"/>
                <w:numId w:val="6"/>
              </w:numPr>
              <w:spacing w:line="220" w:lineRule="atLeast"/>
              <w:ind w:firstLineChars="0"/>
              <w:rPr>
                <w:rFonts w:asciiTheme="minorEastAsia" w:hAnsiTheme="minorEastAsia" w:eastAsiaTheme="minorEastAsia"/>
              </w:rPr>
            </w:pPr>
            <w:r>
              <w:rPr>
                <w:rFonts w:hint="eastAsia" w:asciiTheme="minorEastAsia" w:hAnsiTheme="minorEastAsia" w:eastAsiaTheme="minorEastAsia"/>
              </w:rPr>
              <w:t>具有2类视频输入接口，包括1路HDMI和2路DVI；</w:t>
            </w:r>
          </w:p>
          <w:p>
            <w:pPr>
              <w:pStyle w:val="38"/>
              <w:numPr>
                <w:ilvl w:val="0"/>
                <w:numId w:val="6"/>
              </w:numPr>
              <w:spacing w:line="220" w:lineRule="atLeast"/>
              <w:ind w:firstLineChars="0"/>
              <w:rPr>
                <w:rFonts w:asciiTheme="minorEastAsia" w:hAnsiTheme="minorEastAsia" w:eastAsiaTheme="minorEastAsia"/>
              </w:rPr>
            </w:pPr>
            <w:r>
              <w:rPr>
                <w:rFonts w:hint="eastAsia" w:asciiTheme="minorEastAsia" w:hAnsiTheme="minorEastAsia" w:eastAsiaTheme="minorEastAsia"/>
              </w:rPr>
              <w:t>最大输入分辨率1920×1200@60Hz，支持分辨率任意设置；</w:t>
            </w:r>
          </w:p>
          <w:p>
            <w:pPr>
              <w:pStyle w:val="38"/>
              <w:numPr>
                <w:ilvl w:val="0"/>
                <w:numId w:val="6"/>
              </w:numPr>
              <w:spacing w:line="220" w:lineRule="atLeast"/>
              <w:ind w:firstLineChars="0"/>
              <w:rPr>
                <w:rFonts w:asciiTheme="minorEastAsia" w:hAnsiTheme="minorEastAsia" w:eastAsiaTheme="minorEastAsia"/>
              </w:rPr>
            </w:pPr>
            <w:r>
              <w:rPr>
                <w:rFonts w:hint="eastAsia" w:asciiTheme="minorEastAsia" w:hAnsiTheme="minorEastAsia" w:eastAsiaTheme="minorEastAsia"/>
              </w:rPr>
              <w:t>最大带载260万像素，最宽可达4096点，或最高可达2560点；</w:t>
            </w:r>
          </w:p>
          <w:p>
            <w:pPr>
              <w:pStyle w:val="38"/>
              <w:numPr>
                <w:ilvl w:val="0"/>
                <w:numId w:val="6"/>
              </w:numPr>
              <w:spacing w:line="220" w:lineRule="atLeast"/>
              <w:ind w:firstLineChars="0"/>
              <w:rPr>
                <w:rFonts w:asciiTheme="minorEastAsia" w:hAnsiTheme="minorEastAsia" w:eastAsiaTheme="minorEastAsia"/>
              </w:rPr>
            </w:pPr>
            <w:r>
              <w:rPr>
                <w:rFonts w:hint="eastAsia" w:asciiTheme="minorEastAsia" w:hAnsiTheme="minorEastAsia" w:eastAsiaTheme="minorEastAsia"/>
              </w:rPr>
              <w:t>支持视频源任意切换，缩放和裁剪；</w:t>
            </w:r>
          </w:p>
          <w:p>
            <w:pPr>
              <w:pStyle w:val="38"/>
              <w:numPr>
                <w:ilvl w:val="0"/>
                <w:numId w:val="6"/>
              </w:numPr>
              <w:spacing w:line="220" w:lineRule="atLeast"/>
              <w:ind w:firstLineChars="0"/>
              <w:rPr>
                <w:rFonts w:asciiTheme="minorEastAsia" w:hAnsiTheme="minorEastAsia" w:eastAsiaTheme="minorEastAsia"/>
              </w:rPr>
            </w:pPr>
            <w:r>
              <w:rPr>
                <w:rFonts w:hint="eastAsia" w:asciiTheme="minorEastAsia" w:hAnsiTheme="minorEastAsia" w:eastAsiaTheme="minorEastAsia"/>
              </w:rPr>
              <w:t>支持画面偏移；</w:t>
            </w:r>
          </w:p>
          <w:p>
            <w:pPr>
              <w:pStyle w:val="38"/>
              <w:numPr>
                <w:ilvl w:val="0"/>
                <w:numId w:val="6"/>
              </w:numPr>
              <w:spacing w:line="220" w:lineRule="atLeast"/>
              <w:ind w:firstLineChars="0"/>
              <w:rPr>
                <w:rFonts w:asciiTheme="minorEastAsia" w:hAnsiTheme="minorEastAsia" w:eastAsiaTheme="minorEastAsia"/>
              </w:rPr>
            </w:pPr>
            <w:r>
              <w:rPr>
                <w:rFonts w:hint="eastAsia" w:asciiTheme="minorEastAsia" w:hAnsiTheme="minorEastAsia" w:eastAsiaTheme="minorEastAsia"/>
              </w:rPr>
              <w:t>双USB 2.0高速通讯接口，用于电脑调试和主控间任意级联；</w:t>
            </w:r>
          </w:p>
          <w:p>
            <w:pPr>
              <w:pStyle w:val="38"/>
              <w:numPr>
                <w:ilvl w:val="0"/>
                <w:numId w:val="6"/>
              </w:numPr>
              <w:spacing w:line="220" w:lineRule="atLeast"/>
              <w:ind w:firstLineChars="0"/>
              <w:rPr>
                <w:rFonts w:asciiTheme="minorEastAsia" w:hAnsiTheme="minorEastAsia" w:eastAsiaTheme="minorEastAsia"/>
              </w:rPr>
            </w:pPr>
            <w:r>
              <w:rPr>
                <w:rFonts w:hint="eastAsia" w:asciiTheme="minorEastAsia" w:hAnsiTheme="minorEastAsia" w:eastAsiaTheme="minorEastAsia"/>
              </w:rPr>
              <w:t>支持亮度和色温调节；</w:t>
            </w:r>
          </w:p>
          <w:p>
            <w:pPr>
              <w:pStyle w:val="38"/>
              <w:numPr>
                <w:ilvl w:val="0"/>
                <w:numId w:val="6"/>
              </w:numPr>
              <w:spacing w:line="220" w:lineRule="atLeast"/>
              <w:ind w:firstLineChars="0"/>
              <w:rPr>
                <w:rFonts w:asciiTheme="minorEastAsia" w:hAnsiTheme="minorEastAsia" w:eastAsiaTheme="minorEastAsia"/>
              </w:rPr>
            </w:pPr>
            <w:r>
              <w:rPr>
                <w:rFonts w:hint="eastAsia" w:asciiTheme="minorEastAsia" w:hAnsiTheme="minorEastAsia" w:eastAsiaTheme="minorEastAsia"/>
              </w:rPr>
              <w:t>支持低亮高灰；</w:t>
            </w:r>
          </w:p>
          <w:p>
            <w:pPr>
              <w:pStyle w:val="38"/>
              <w:numPr>
                <w:ilvl w:val="0"/>
                <w:numId w:val="6"/>
              </w:numPr>
              <w:spacing w:line="220" w:lineRule="atLeast"/>
              <w:ind w:firstLineChars="0"/>
              <w:rPr>
                <w:rFonts w:asciiTheme="minorEastAsia" w:hAnsiTheme="minorEastAsia" w:eastAsiaTheme="minorEastAsia"/>
              </w:rPr>
            </w:pPr>
            <w:r>
              <w:rPr>
                <w:rFonts w:hint="eastAsia" w:asciiTheme="minorEastAsia" w:hAnsiTheme="minorEastAsia" w:eastAsiaTheme="minorEastAsia"/>
              </w:rPr>
              <w:t>支持HDCP 1.4；</w:t>
            </w:r>
          </w:p>
          <w:p>
            <w:pPr>
              <w:spacing w:line="220" w:lineRule="atLeast"/>
              <w:rPr>
                <w:rFonts w:asciiTheme="minorEastAsia" w:hAnsiTheme="minorEastAsia" w:eastAsiaTheme="minorEastAsia"/>
                <w:color w:val="auto"/>
              </w:rPr>
            </w:pPr>
            <w:r>
              <w:rPr>
                <w:rFonts w:hint="eastAsia" w:asciiTheme="minorEastAsia" w:hAnsiTheme="minorEastAsia" w:eastAsiaTheme="minorEastAsia"/>
                <w:color w:val="auto"/>
              </w:rPr>
              <w:t>★视频控制设备可支持250N恒定作用力，外部防护罩可承受250N+10N的恒定作用力持续5S（提供厂家盖公章CMA、CNAS第三方检测报告）</w:t>
            </w:r>
            <w:r>
              <w:rPr>
                <w:rFonts w:hint="eastAsia" w:asciiTheme="minorEastAsia" w:hAnsiTheme="minorEastAsia" w:eastAsiaTheme="minorEastAsia"/>
                <w:color w:val="auto"/>
              </w:rPr>
              <w:br w:type="textWrapping"/>
            </w:r>
            <w:r>
              <w:rPr>
                <w:rFonts w:hint="eastAsia" w:asciiTheme="minorEastAsia" w:hAnsiTheme="minorEastAsia" w:eastAsiaTheme="minorEastAsia"/>
                <w:color w:val="auto"/>
              </w:rPr>
              <w:t xml:space="preserve">★通过该发送卡可调试显示屏的色域坐标，显示不同坐标值色温，进行精确颜色管理;可任意改变 </w:t>
            </w:r>
            <w:r>
              <w:rPr>
                <w:rFonts w:asciiTheme="minorEastAsia" w:hAnsiTheme="minorEastAsia" w:eastAsiaTheme="minorEastAsia"/>
                <w:color w:val="auto"/>
              </w:rPr>
              <w:t xml:space="preserve">0-255 </w:t>
            </w:r>
            <w:r>
              <w:rPr>
                <w:rFonts w:hint="eastAsia" w:asciiTheme="minorEastAsia" w:hAnsiTheme="minorEastAsia" w:eastAsiaTheme="minorEastAsia"/>
                <w:color w:val="auto"/>
              </w:rPr>
              <w:t xml:space="preserve">灰阶不同灰度值的亮度显示 并进行任意调节;色温调整精度在 </w:t>
            </w:r>
            <w:r>
              <w:rPr>
                <w:rFonts w:asciiTheme="minorEastAsia" w:hAnsiTheme="minorEastAsia" w:eastAsiaTheme="minorEastAsia"/>
                <w:color w:val="auto"/>
              </w:rPr>
              <w:t>100K</w:t>
            </w:r>
            <w:r>
              <w:rPr>
                <w:rFonts w:hint="eastAsia" w:asciiTheme="minorEastAsia" w:hAnsiTheme="minorEastAsia" w:eastAsiaTheme="minorEastAsia"/>
                <w:color w:val="auto"/>
              </w:rPr>
              <w:t>以内（提供厂家盖公章CMA、CNAS第三方检测报告）</w:t>
            </w:r>
          </w:p>
          <w:p>
            <w:pPr>
              <w:spacing w:line="220" w:lineRule="atLeast"/>
              <w:rPr>
                <w:rFonts w:asciiTheme="minorEastAsia" w:hAnsiTheme="minorEastAsia" w:eastAsiaTheme="minorEastAsia"/>
                <w:color w:val="auto"/>
              </w:rPr>
            </w:pPr>
            <w:r>
              <w:rPr>
                <w:rFonts w:hint="eastAsia" w:asciiTheme="minorEastAsia" w:hAnsiTheme="minorEastAsia" w:eastAsiaTheme="minorEastAsia"/>
                <w:color w:val="auto"/>
              </w:rPr>
              <w:t>★视频控制设备可支持EUT的连接方法（提供厂家盖公章CMA、CNAS第三方检测报告）</w:t>
            </w:r>
          </w:p>
          <w:p>
            <w:pPr>
              <w:spacing w:line="220" w:lineRule="atLeast"/>
              <w:rPr>
                <w:rFonts w:asciiTheme="minorEastAsia" w:hAnsiTheme="minorEastAsia" w:eastAsiaTheme="minorEastAsia"/>
                <w:color w:val="auto"/>
              </w:rPr>
            </w:pPr>
            <w:r>
              <w:rPr>
                <w:rFonts w:hint="eastAsia" w:asciiTheme="minorEastAsia" w:hAnsiTheme="minorEastAsia" w:eastAsiaTheme="minorEastAsia"/>
                <w:color w:val="auto"/>
              </w:rPr>
              <w:t>★在</w:t>
            </w:r>
            <w:r>
              <w:rPr>
                <w:rFonts w:asciiTheme="minorEastAsia" w:hAnsiTheme="minorEastAsia" w:eastAsiaTheme="minorEastAsia"/>
                <w:color w:val="auto"/>
              </w:rPr>
              <w:t>-20</w:t>
            </w:r>
            <w:r>
              <w:rPr>
                <w:rFonts w:hint="eastAsia" w:asciiTheme="minorEastAsia" w:hAnsiTheme="minorEastAsia" w:eastAsiaTheme="minorEastAsia"/>
                <w:color w:val="auto"/>
              </w:rPr>
              <w:t>°C</w:t>
            </w:r>
            <w:r>
              <w:rPr>
                <w:rFonts w:asciiTheme="minorEastAsia" w:hAnsiTheme="minorEastAsia" w:eastAsiaTheme="minorEastAsia"/>
                <w:color w:val="auto"/>
              </w:rPr>
              <w:t>-60</w:t>
            </w:r>
            <w:r>
              <w:rPr>
                <w:rFonts w:hint="eastAsia" w:asciiTheme="minorEastAsia" w:hAnsiTheme="minorEastAsia" w:eastAsiaTheme="minorEastAsia"/>
                <w:color w:val="auto"/>
              </w:rPr>
              <w:t>°C下，控制器所有功能打开且参数设置到最大依然能正常工作，一直连续开 断电处理，控制器依然可以正常启动工作， 机箱结构配合散热风扇达到很好的散热效果</w:t>
            </w:r>
          </w:p>
          <w:p>
            <w:pPr>
              <w:rPr>
                <w:rFonts w:ascii="宋体" w:hAnsi="宋体" w:cs="宋体"/>
                <w:bCs/>
                <w:szCs w:val="21"/>
              </w:rPr>
            </w:pPr>
          </w:p>
        </w:tc>
      </w:tr>
    </w:tbl>
    <w:p>
      <w:pPr>
        <w:adjustRightInd w:val="0"/>
        <w:snapToGrid w:val="0"/>
        <w:spacing w:line="480" w:lineRule="exact"/>
        <w:rPr>
          <w:rFonts w:ascii="宋体" w:hAnsi="宋体" w:cs="宋体"/>
          <w:bCs/>
          <w:szCs w:val="21"/>
        </w:rPr>
      </w:pPr>
    </w:p>
    <w:p>
      <w:pPr>
        <w:adjustRightInd w:val="0"/>
        <w:snapToGrid w:val="0"/>
        <w:spacing w:line="480" w:lineRule="exact"/>
        <w:rPr>
          <w:rFonts w:ascii="宋体" w:hAnsi="宋体" w:cs="宋体"/>
          <w:bCs/>
          <w:szCs w:val="21"/>
        </w:rPr>
      </w:pPr>
    </w:p>
    <w:p>
      <w:pPr>
        <w:adjustRightInd w:val="0"/>
        <w:snapToGrid w:val="0"/>
        <w:spacing w:line="480" w:lineRule="exact"/>
        <w:rPr>
          <w:rFonts w:asciiTheme="minorEastAsia" w:hAnsiTheme="minorEastAsia" w:eastAsiaTheme="minorEastAsia" w:cstheme="minorEastAsia"/>
          <w:color w:val="7030A0"/>
          <w:szCs w:val="21"/>
        </w:rPr>
      </w:pPr>
    </w:p>
    <w:bookmarkEnd w:id="0"/>
    <w:p>
      <w:pPr>
        <w:tabs>
          <w:tab w:val="left" w:pos="8400"/>
        </w:tabs>
        <w:spacing w:line="460" w:lineRule="exact"/>
        <w:ind w:firstLine="420" w:firstLineChars="200"/>
        <w:jc w:val="left"/>
        <w:rPr>
          <w:rFonts w:ascii="宋体" w:hAnsi="宋体"/>
          <w:szCs w:val="21"/>
        </w:rPr>
      </w:pPr>
    </w:p>
    <w:p>
      <w:pPr>
        <w:tabs>
          <w:tab w:val="left" w:pos="8400"/>
        </w:tabs>
        <w:spacing w:line="460" w:lineRule="exact"/>
        <w:jc w:val="left"/>
        <w:rPr>
          <w:rFonts w:ascii="宋体" w:hAnsi="宋体"/>
          <w:szCs w:val="21"/>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1071"/>
        </w:tabs>
        <w:bidi w:val="0"/>
        <w:ind w:firstLine="420" w:firstLineChars="200"/>
        <w:jc w:val="left"/>
        <w:rPr>
          <w:rFonts w:hint="eastAsia"/>
          <w:lang w:val="en-US" w:eastAsia="zh-CN"/>
        </w:rPr>
      </w:pPr>
      <w:r>
        <w:rPr>
          <w:rFonts w:hint="eastAsia"/>
          <w:lang w:val="en-US" w:eastAsia="zh-CN"/>
        </w:rPr>
        <w:t>以上参数本项标有★的技术参数需提供由国家权威机构ilac-MRA CNAS认证并出具的检测报告复印件并加盖原厂公章复印件备查。</w:t>
      </w:r>
      <w:bookmarkStart w:id="1" w:name="_GoBack"/>
      <w:bookmarkEnd w:id="1"/>
    </w:p>
    <w:p>
      <w:pPr>
        <w:tabs>
          <w:tab w:val="left" w:pos="1071"/>
        </w:tabs>
        <w:bidi w:val="0"/>
        <w:jc w:val="left"/>
        <w:rPr>
          <w:rFonts w:hint="default"/>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altName w:val="Times New Roman"/>
    <w:panose1 w:val="00000000000000000000"/>
    <w:charset w:val="00"/>
    <w:family w:val="roman"/>
    <w:pitch w:val="default"/>
    <w:sig w:usb0="00000000" w:usb1="00000000" w:usb2="00000000" w:usb3="00000000" w:csb0="00000093"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3"/>
      <w:numFmt w:val="japaneseCounting"/>
      <w:pStyle w:val="2"/>
      <w:lvlText w:val="第%1章"/>
      <w:lvlJc w:val="left"/>
      <w:pPr>
        <w:tabs>
          <w:tab w:val="left" w:pos="1455"/>
        </w:tabs>
        <w:ind w:left="1455" w:hanging="14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D"/>
    <w:multiLevelType w:val="multilevel"/>
    <w:tmpl w:val="0000000D"/>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hAnsi="Times New Roman" w:eastAsia="宋体"/>
        <w:b/>
        <w:i w:val="0"/>
        <w:sz w:val="28"/>
      </w:r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00000012"/>
    <w:multiLevelType w:val="multilevel"/>
    <w:tmpl w:val="00000012"/>
    <w:lvl w:ilvl="0" w:tentative="0">
      <w:start w:val="3"/>
      <w:numFmt w:val="decimal"/>
      <w:pStyle w:val="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ascii="宋体" w:hAnsi="宋体" w:eastAsia="宋体"/>
        <w:sz w:val="24"/>
        <w:szCs w:val="24"/>
      </w:rPr>
    </w:lvl>
    <w:lvl w:ilvl="2" w:tentative="0">
      <w:start w:val="5"/>
      <w:numFmt w:val="decimal"/>
      <w:lvlText w:val="1.3.%3"/>
      <w:lvlJc w:val="left"/>
      <w:pPr>
        <w:tabs>
          <w:tab w:val="left" w:pos="1571"/>
        </w:tabs>
        <w:ind w:left="1418" w:hanging="567"/>
      </w:pPr>
      <w:rPr>
        <w:rFonts w:hint="eastAsia"/>
      </w:rPr>
    </w:lvl>
    <w:lvl w:ilvl="3" w:tentative="0">
      <w:start w:val="1"/>
      <w:numFmt w:val="decimal"/>
      <w:lvlText w:val="2.7.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3">
    <w:nsid w:val="57551A12"/>
    <w:multiLevelType w:val="singleLevel"/>
    <w:tmpl w:val="57551A12"/>
    <w:lvl w:ilvl="0" w:tentative="0">
      <w:start w:val="1"/>
      <w:numFmt w:val="decimal"/>
      <w:suff w:val="nothing"/>
      <w:lvlText w:val="%1、"/>
      <w:lvlJc w:val="left"/>
      <w:pPr>
        <w:ind w:left="420" w:hanging="420"/>
      </w:pPr>
      <w:rPr>
        <w:rFonts w:hint="eastAsia"/>
        <w:color w:val="auto"/>
      </w:rPr>
    </w:lvl>
  </w:abstractNum>
  <w:abstractNum w:abstractNumId="4">
    <w:nsid w:val="5795C3E6"/>
    <w:multiLevelType w:val="singleLevel"/>
    <w:tmpl w:val="5795C3E6"/>
    <w:lvl w:ilvl="0" w:tentative="0">
      <w:start w:val="1"/>
      <w:numFmt w:val="decimal"/>
      <w:suff w:val="nothing"/>
      <w:lvlText w:val="%1、"/>
      <w:lvlJc w:val="left"/>
      <w:pPr>
        <w:ind w:left="0" w:firstLine="0"/>
      </w:pPr>
      <w:rPr>
        <w:rFonts w:hint="eastAsia"/>
      </w:rPr>
    </w:lvl>
  </w:abstractNum>
  <w:abstractNum w:abstractNumId="5">
    <w:nsid w:val="5F546659"/>
    <w:multiLevelType w:val="multilevel"/>
    <w:tmpl w:val="5F5466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GE3ZjQxZWRiNzY4OTQ5OWZjOGExZjlhNDQ0MWUifQ=="/>
  </w:docVars>
  <w:rsids>
    <w:rsidRoot w:val="009B4589"/>
    <w:rsid w:val="00005457"/>
    <w:rsid w:val="0002544B"/>
    <w:rsid w:val="000321E7"/>
    <w:rsid w:val="00035BB3"/>
    <w:rsid w:val="00044517"/>
    <w:rsid w:val="0004535B"/>
    <w:rsid w:val="00063288"/>
    <w:rsid w:val="00066F28"/>
    <w:rsid w:val="00067E26"/>
    <w:rsid w:val="00080BD9"/>
    <w:rsid w:val="000B0D6D"/>
    <w:rsid w:val="000B1058"/>
    <w:rsid w:val="000E2C57"/>
    <w:rsid w:val="000E5A81"/>
    <w:rsid w:val="000F2115"/>
    <w:rsid w:val="001250E6"/>
    <w:rsid w:val="0013464A"/>
    <w:rsid w:val="00137727"/>
    <w:rsid w:val="00147410"/>
    <w:rsid w:val="001504E3"/>
    <w:rsid w:val="00163084"/>
    <w:rsid w:val="001651C3"/>
    <w:rsid w:val="001957D7"/>
    <w:rsid w:val="001B4853"/>
    <w:rsid w:val="001E4589"/>
    <w:rsid w:val="001F1B41"/>
    <w:rsid w:val="00201DF0"/>
    <w:rsid w:val="00206FBF"/>
    <w:rsid w:val="00216D3C"/>
    <w:rsid w:val="00221996"/>
    <w:rsid w:val="00241DA6"/>
    <w:rsid w:val="00287ED6"/>
    <w:rsid w:val="002B73FE"/>
    <w:rsid w:val="002D0C9E"/>
    <w:rsid w:val="002D4584"/>
    <w:rsid w:val="002D60AA"/>
    <w:rsid w:val="0030162D"/>
    <w:rsid w:val="0031547F"/>
    <w:rsid w:val="00364EDB"/>
    <w:rsid w:val="00391F86"/>
    <w:rsid w:val="003A424C"/>
    <w:rsid w:val="003D0865"/>
    <w:rsid w:val="003D174E"/>
    <w:rsid w:val="003E05C4"/>
    <w:rsid w:val="003E5B29"/>
    <w:rsid w:val="0041789F"/>
    <w:rsid w:val="004362CA"/>
    <w:rsid w:val="004425DA"/>
    <w:rsid w:val="00444A01"/>
    <w:rsid w:val="00462ED3"/>
    <w:rsid w:val="00465313"/>
    <w:rsid w:val="004669ED"/>
    <w:rsid w:val="004716A9"/>
    <w:rsid w:val="004A1046"/>
    <w:rsid w:val="004B0CB0"/>
    <w:rsid w:val="004D5CE5"/>
    <w:rsid w:val="004E042E"/>
    <w:rsid w:val="004F29CD"/>
    <w:rsid w:val="004F5A40"/>
    <w:rsid w:val="005102A6"/>
    <w:rsid w:val="00511BFD"/>
    <w:rsid w:val="0052325E"/>
    <w:rsid w:val="00594DAE"/>
    <w:rsid w:val="005D5DA9"/>
    <w:rsid w:val="005D6150"/>
    <w:rsid w:val="005F15BD"/>
    <w:rsid w:val="0062304F"/>
    <w:rsid w:val="006302A1"/>
    <w:rsid w:val="00643058"/>
    <w:rsid w:val="00646090"/>
    <w:rsid w:val="00656A50"/>
    <w:rsid w:val="00662560"/>
    <w:rsid w:val="00672C54"/>
    <w:rsid w:val="00672E47"/>
    <w:rsid w:val="00674280"/>
    <w:rsid w:val="00692ED6"/>
    <w:rsid w:val="006A3C6F"/>
    <w:rsid w:val="006E3B08"/>
    <w:rsid w:val="006F230F"/>
    <w:rsid w:val="006F2600"/>
    <w:rsid w:val="00701B28"/>
    <w:rsid w:val="007223E4"/>
    <w:rsid w:val="00723857"/>
    <w:rsid w:val="00734EA9"/>
    <w:rsid w:val="00744C91"/>
    <w:rsid w:val="00747365"/>
    <w:rsid w:val="00787AD5"/>
    <w:rsid w:val="007B39E6"/>
    <w:rsid w:val="007D6940"/>
    <w:rsid w:val="007D6B82"/>
    <w:rsid w:val="007E70F9"/>
    <w:rsid w:val="007F1FF5"/>
    <w:rsid w:val="00801A79"/>
    <w:rsid w:val="00814FEB"/>
    <w:rsid w:val="00856258"/>
    <w:rsid w:val="008652D8"/>
    <w:rsid w:val="00867D4F"/>
    <w:rsid w:val="00876525"/>
    <w:rsid w:val="0088535C"/>
    <w:rsid w:val="0089000F"/>
    <w:rsid w:val="00890291"/>
    <w:rsid w:val="00895ECE"/>
    <w:rsid w:val="008A5B4A"/>
    <w:rsid w:val="008B334E"/>
    <w:rsid w:val="008E3988"/>
    <w:rsid w:val="008F7CDC"/>
    <w:rsid w:val="00901E88"/>
    <w:rsid w:val="009021BA"/>
    <w:rsid w:val="00920EBA"/>
    <w:rsid w:val="00934853"/>
    <w:rsid w:val="009435FE"/>
    <w:rsid w:val="009A7AE0"/>
    <w:rsid w:val="009B3E01"/>
    <w:rsid w:val="009B4589"/>
    <w:rsid w:val="009B6738"/>
    <w:rsid w:val="009C0892"/>
    <w:rsid w:val="009C4C9D"/>
    <w:rsid w:val="009E1235"/>
    <w:rsid w:val="009E4508"/>
    <w:rsid w:val="009F7457"/>
    <w:rsid w:val="00A045FE"/>
    <w:rsid w:val="00A17DEC"/>
    <w:rsid w:val="00A22A86"/>
    <w:rsid w:val="00A24268"/>
    <w:rsid w:val="00A3673A"/>
    <w:rsid w:val="00A40745"/>
    <w:rsid w:val="00A57531"/>
    <w:rsid w:val="00A65B5B"/>
    <w:rsid w:val="00A663F7"/>
    <w:rsid w:val="00A74AAB"/>
    <w:rsid w:val="00A81F6B"/>
    <w:rsid w:val="00AA0F62"/>
    <w:rsid w:val="00AA1EF4"/>
    <w:rsid w:val="00AB7943"/>
    <w:rsid w:val="00AC4717"/>
    <w:rsid w:val="00AD1DD6"/>
    <w:rsid w:val="00AE1F1B"/>
    <w:rsid w:val="00AE6FF2"/>
    <w:rsid w:val="00AE7243"/>
    <w:rsid w:val="00B02AC6"/>
    <w:rsid w:val="00B417CB"/>
    <w:rsid w:val="00B72C6B"/>
    <w:rsid w:val="00B7480B"/>
    <w:rsid w:val="00B85619"/>
    <w:rsid w:val="00B87098"/>
    <w:rsid w:val="00BB7DA6"/>
    <w:rsid w:val="00BC3FEA"/>
    <w:rsid w:val="00C01C50"/>
    <w:rsid w:val="00C05C2B"/>
    <w:rsid w:val="00C246D8"/>
    <w:rsid w:val="00C33227"/>
    <w:rsid w:val="00C46653"/>
    <w:rsid w:val="00C879B2"/>
    <w:rsid w:val="00C94CC6"/>
    <w:rsid w:val="00CB34B8"/>
    <w:rsid w:val="00CC1C4A"/>
    <w:rsid w:val="00CD18B8"/>
    <w:rsid w:val="00CE505E"/>
    <w:rsid w:val="00CF0244"/>
    <w:rsid w:val="00CF349A"/>
    <w:rsid w:val="00CF6533"/>
    <w:rsid w:val="00D22ABD"/>
    <w:rsid w:val="00D241E0"/>
    <w:rsid w:val="00D2678B"/>
    <w:rsid w:val="00D464CC"/>
    <w:rsid w:val="00D511C2"/>
    <w:rsid w:val="00D5287C"/>
    <w:rsid w:val="00D55A78"/>
    <w:rsid w:val="00DE02B1"/>
    <w:rsid w:val="00E1116C"/>
    <w:rsid w:val="00E149A9"/>
    <w:rsid w:val="00E65CF7"/>
    <w:rsid w:val="00E71FF7"/>
    <w:rsid w:val="00E927FF"/>
    <w:rsid w:val="00E96143"/>
    <w:rsid w:val="00EA2517"/>
    <w:rsid w:val="00EA3096"/>
    <w:rsid w:val="00EC125F"/>
    <w:rsid w:val="00EC2883"/>
    <w:rsid w:val="00EE7717"/>
    <w:rsid w:val="00EF208A"/>
    <w:rsid w:val="00EF293F"/>
    <w:rsid w:val="00F01136"/>
    <w:rsid w:val="00F73ACF"/>
    <w:rsid w:val="00F96918"/>
    <w:rsid w:val="00FC0F9D"/>
    <w:rsid w:val="00FC6ACA"/>
    <w:rsid w:val="00FE0388"/>
    <w:rsid w:val="00FF114B"/>
    <w:rsid w:val="025F6AC9"/>
    <w:rsid w:val="036C520C"/>
    <w:rsid w:val="03747453"/>
    <w:rsid w:val="042633D2"/>
    <w:rsid w:val="05137E94"/>
    <w:rsid w:val="05D77FD4"/>
    <w:rsid w:val="08153519"/>
    <w:rsid w:val="08962DA7"/>
    <w:rsid w:val="0D64512D"/>
    <w:rsid w:val="0F4946D0"/>
    <w:rsid w:val="10A75C36"/>
    <w:rsid w:val="11346174"/>
    <w:rsid w:val="11B140DC"/>
    <w:rsid w:val="11CA32EE"/>
    <w:rsid w:val="1258295B"/>
    <w:rsid w:val="12BE6C1E"/>
    <w:rsid w:val="145F1237"/>
    <w:rsid w:val="15C554FD"/>
    <w:rsid w:val="16134DBB"/>
    <w:rsid w:val="19CB1AAB"/>
    <w:rsid w:val="1C2F346B"/>
    <w:rsid w:val="1E3F2C19"/>
    <w:rsid w:val="1E916BC5"/>
    <w:rsid w:val="1ECD1903"/>
    <w:rsid w:val="201B7F11"/>
    <w:rsid w:val="203B6088"/>
    <w:rsid w:val="2052244D"/>
    <w:rsid w:val="20855784"/>
    <w:rsid w:val="20C137F8"/>
    <w:rsid w:val="20E00082"/>
    <w:rsid w:val="210B3EDB"/>
    <w:rsid w:val="21571A45"/>
    <w:rsid w:val="21A94AA1"/>
    <w:rsid w:val="22CB1AC9"/>
    <w:rsid w:val="253066EF"/>
    <w:rsid w:val="26427E0F"/>
    <w:rsid w:val="267B6AC4"/>
    <w:rsid w:val="26DD3130"/>
    <w:rsid w:val="272E6749"/>
    <w:rsid w:val="28E54B6B"/>
    <w:rsid w:val="29414E31"/>
    <w:rsid w:val="29977969"/>
    <w:rsid w:val="29DB5BEA"/>
    <w:rsid w:val="2A17689E"/>
    <w:rsid w:val="2AA149FD"/>
    <w:rsid w:val="2B8F6042"/>
    <w:rsid w:val="2C465AA3"/>
    <w:rsid w:val="2C6E4489"/>
    <w:rsid w:val="2CD620B2"/>
    <w:rsid w:val="2D4F1D6B"/>
    <w:rsid w:val="2D537CA6"/>
    <w:rsid w:val="2D543635"/>
    <w:rsid w:val="2EBD5525"/>
    <w:rsid w:val="30782C8E"/>
    <w:rsid w:val="30C508D5"/>
    <w:rsid w:val="30F24871"/>
    <w:rsid w:val="3249005C"/>
    <w:rsid w:val="33236E0B"/>
    <w:rsid w:val="35222B34"/>
    <w:rsid w:val="353901EC"/>
    <w:rsid w:val="355A666E"/>
    <w:rsid w:val="36C10A29"/>
    <w:rsid w:val="374E642A"/>
    <w:rsid w:val="38912C52"/>
    <w:rsid w:val="3A3E0A25"/>
    <w:rsid w:val="3AD035AD"/>
    <w:rsid w:val="3B561C5E"/>
    <w:rsid w:val="3DB438ED"/>
    <w:rsid w:val="3E480846"/>
    <w:rsid w:val="40845C67"/>
    <w:rsid w:val="40C628CE"/>
    <w:rsid w:val="439D3CD1"/>
    <w:rsid w:val="44BB44FB"/>
    <w:rsid w:val="45D37BB7"/>
    <w:rsid w:val="4631404E"/>
    <w:rsid w:val="4C03562B"/>
    <w:rsid w:val="4C460B17"/>
    <w:rsid w:val="4D17535C"/>
    <w:rsid w:val="4DC61CEA"/>
    <w:rsid w:val="4F1012A6"/>
    <w:rsid w:val="4F3A3B01"/>
    <w:rsid w:val="50761FA8"/>
    <w:rsid w:val="51554F79"/>
    <w:rsid w:val="51A463C9"/>
    <w:rsid w:val="523F1118"/>
    <w:rsid w:val="53956442"/>
    <w:rsid w:val="53CB3C5D"/>
    <w:rsid w:val="54933F45"/>
    <w:rsid w:val="55E03EEF"/>
    <w:rsid w:val="566E7B50"/>
    <w:rsid w:val="58BD0405"/>
    <w:rsid w:val="59A67D98"/>
    <w:rsid w:val="5B653C0C"/>
    <w:rsid w:val="5B916848"/>
    <w:rsid w:val="5F4A4B40"/>
    <w:rsid w:val="622D49E2"/>
    <w:rsid w:val="639019F1"/>
    <w:rsid w:val="63D44114"/>
    <w:rsid w:val="648D4EB0"/>
    <w:rsid w:val="65752685"/>
    <w:rsid w:val="67031B8C"/>
    <w:rsid w:val="679F2254"/>
    <w:rsid w:val="69075D66"/>
    <w:rsid w:val="69BB3EA8"/>
    <w:rsid w:val="69E21685"/>
    <w:rsid w:val="6A9B1832"/>
    <w:rsid w:val="6C5C2101"/>
    <w:rsid w:val="6CB0501D"/>
    <w:rsid w:val="6F336F1C"/>
    <w:rsid w:val="6F575E67"/>
    <w:rsid w:val="6FF60E7F"/>
    <w:rsid w:val="70706D6A"/>
    <w:rsid w:val="70C318C4"/>
    <w:rsid w:val="713407F4"/>
    <w:rsid w:val="718B4697"/>
    <w:rsid w:val="71923F9E"/>
    <w:rsid w:val="728B515C"/>
    <w:rsid w:val="72BD7D1E"/>
    <w:rsid w:val="736C584A"/>
    <w:rsid w:val="73D325FB"/>
    <w:rsid w:val="74E450AC"/>
    <w:rsid w:val="75930CF7"/>
    <w:rsid w:val="75F66E6D"/>
    <w:rsid w:val="762F68EB"/>
    <w:rsid w:val="768B5063"/>
    <w:rsid w:val="77CE229E"/>
    <w:rsid w:val="79194E5F"/>
    <w:rsid w:val="792B5238"/>
    <w:rsid w:val="7A20325E"/>
    <w:rsid w:val="7A2F56B9"/>
    <w:rsid w:val="7B1A1828"/>
    <w:rsid w:val="7E35103E"/>
    <w:rsid w:val="7E9A374B"/>
    <w:rsid w:val="7F8F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numPr>
        <w:ilvl w:val="0"/>
        <w:numId w:val="1"/>
      </w:numPr>
      <w:spacing w:before="340" w:after="330" w:line="576" w:lineRule="auto"/>
      <w:jc w:val="center"/>
      <w:outlineLvl w:val="0"/>
    </w:pPr>
    <w:rPr>
      <w:b/>
      <w:kern w:val="44"/>
      <w:sz w:val="36"/>
      <w:szCs w:val="20"/>
    </w:rPr>
  </w:style>
  <w:style w:type="paragraph" w:styleId="3">
    <w:name w:val="heading 2"/>
    <w:basedOn w:val="1"/>
    <w:next w:val="4"/>
    <w:link w:val="21"/>
    <w:qFormat/>
    <w:uiPriority w:val="0"/>
    <w:pPr>
      <w:keepNext/>
      <w:keepLines/>
      <w:numPr>
        <w:ilvl w:val="1"/>
        <w:numId w:val="2"/>
      </w:numPr>
      <w:spacing w:before="260" w:after="260" w:line="412" w:lineRule="auto"/>
      <w:jc w:val="center"/>
      <w:outlineLvl w:val="1"/>
    </w:pPr>
    <w:rPr>
      <w:rFonts w:ascii="CG Times" w:hAnsi="CG Times"/>
      <w:b/>
      <w:sz w:val="30"/>
      <w:szCs w:val="20"/>
    </w:rPr>
  </w:style>
  <w:style w:type="paragraph" w:styleId="5">
    <w:name w:val="heading 3"/>
    <w:basedOn w:val="1"/>
    <w:next w:val="4"/>
    <w:link w:val="22"/>
    <w:qFormat/>
    <w:uiPriority w:val="0"/>
    <w:pPr>
      <w:keepNext/>
      <w:keepLines/>
      <w:numPr>
        <w:ilvl w:val="0"/>
        <w:numId w:val="3"/>
      </w:numPr>
      <w:tabs>
        <w:tab w:val="left" w:pos="5852"/>
      </w:tabs>
      <w:snapToGrid w:val="0"/>
      <w:spacing w:before="360" w:line="240" w:lineRule="exact"/>
      <w:outlineLvl w:val="2"/>
    </w:pPr>
    <w:rPr>
      <w:b/>
      <w:sz w:val="28"/>
      <w:szCs w:val="20"/>
    </w:rPr>
  </w:style>
  <w:style w:type="paragraph" w:styleId="6">
    <w:name w:val="heading 5"/>
    <w:basedOn w:val="1"/>
    <w:next w:val="1"/>
    <w:qFormat/>
    <w:uiPriority w:val="1"/>
    <w:pPr>
      <w:ind w:left="238"/>
      <w:outlineLvl w:val="4"/>
    </w:pPr>
    <w:rPr>
      <w:rFonts w:ascii="宋体" w:hAnsi="宋体" w:cs="宋体"/>
      <w:sz w:val="24"/>
      <w:lang w:val="it-IT" w:eastAsia="it-IT" w:bidi="it-IT"/>
    </w:rPr>
  </w:style>
  <w:style w:type="paragraph" w:styleId="7">
    <w:name w:val="heading 6"/>
    <w:basedOn w:val="1"/>
    <w:next w:val="1"/>
    <w:qFormat/>
    <w:uiPriority w:val="1"/>
    <w:pPr>
      <w:ind w:left="958" w:hanging="360"/>
      <w:outlineLvl w:val="5"/>
    </w:pPr>
    <w:rPr>
      <w:rFonts w:ascii="宋体" w:hAnsi="宋体" w:cs="宋体"/>
      <w:szCs w:val="21"/>
      <w:lang w:val="it-IT" w:eastAsia="it-IT" w:bidi="it-IT"/>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link w:val="23"/>
    <w:qFormat/>
    <w:uiPriority w:val="0"/>
    <w:pPr>
      <w:ind w:firstLine="420"/>
    </w:pPr>
    <w:rPr>
      <w:rFonts w:asciiTheme="minorHAnsi" w:hAnsiTheme="minorHAnsi" w:eastAsiaTheme="minorEastAsia" w:cstheme="minorBidi"/>
      <w:szCs w:val="22"/>
    </w:rPr>
  </w:style>
  <w:style w:type="paragraph" w:styleId="8">
    <w:name w:val="annotation text"/>
    <w:basedOn w:val="1"/>
    <w:link w:val="26"/>
    <w:qFormat/>
    <w:uiPriority w:val="0"/>
    <w:pPr>
      <w:jc w:val="left"/>
    </w:pPr>
    <w:rPr>
      <w:rFonts w:asciiTheme="minorHAnsi" w:hAnsiTheme="minorHAnsi" w:eastAsiaTheme="minorEastAsia" w:cstheme="minorBidi"/>
    </w:rPr>
  </w:style>
  <w:style w:type="paragraph" w:styleId="9">
    <w:name w:val="Body Text"/>
    <w:basedOn w:val="1"/>
    <w:link w:val="25"/>
    <w:qFormat/>
    <w:uiPriority w:val="0"/>
    <w:pPr>
      <w:spacing w:line="380" w:lineRule="exact"/>
    </w:pPr>
    <w:rPr>
      <w:rFonts w:asciiTheme="minorHAnsi" w:hAnsiTheme="minorHAnsi" w:eastAsiaTheme="minorEastAsia" w:cstheme="minorBidi"/>
      <w:sz w:val="24"/>
    </w:rPr>
  </w:style>
  <w:style w:type="paragraph" w:styleId="10">
    <w:name w:val="Plain Text"/>
    <w:basedOn w:val="1"/>
    <w:link w:val="24"/>
    <w:qFormat/>
    <w:uiPriority w:val="0"/>
    <w:rPr>
      <w:rFonts w:ascii="宋体" w:hAnsi="Courier New" w:cstheme="minorBidi"/>
      <w:szCs w:val="22"/>
    </w:rPr>
  </w:style>
  <w:style w:type="paragraph" w:styleId="11">
    <w:name w:val="footer"/>
    <w:basedOn w:val="1"/>
    <w:link w:val="19"/>
    <w:unhideWhenUsed/>
    <w:qFormat/>
    <w:uiPriority w:val="99"/>
    <w:pPr>
      <w:tabs>
        <w:tab w:val="center" w:pos="4153"/>
        <w:tab w:val="right" w:pos="8306"/>
      </w:tabs>
      <w:snapToGrid w:val="0"/>
      <w:jc w:val="left"/>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页眉 字符"/>
    <w:basedOn w:val="15"/>
    <w:link w:val="12"/>
    <w:qFormat/>
    <w:uiPriority w:val="99"/>
    <w:rPr>
      <w:sz w:val="18"/>
      <w:szCs w:val="18"/>
    </w:rPr>
  </w:style>
  <w:style w:type="character" w:customStyle="1" w:styleId="19">
    <w:name w:val="页脚 字符"/>
    <w:basedOn w:val="15"/>
    <w:link w:val="11"/>
    <w:qFormat/>
    <w:uiPriority w:val="99"/>
    <w:rPr>
      <w:sz w:val="18"/>
      <w:szCs w:val="18"/>
    </w:rPr>
  </w:style>
  <w:style w:type="character" w:customStyle="1" w:styleId="20">
    <w:name w:val="标题 1 字符"/>
    <w:basedOn w:val="15"/>
    <w:link w:val="2"/>
    <w:qFormat/>
    <w:uiPriority w:val="0"/>
    <w:rPr>
      <w:rFonts w:ascii="Times New Roman" w:hAnsi="Times New Roman" w:eastAsia="宋体" w:cs="Times New Roman"/>
      <w:b/>
      <w:kern w:val="44"/>
      <w:sz w:val="36"/>
      <w:szCs w:val="20"/>
    </w:rPr>
  </w:style>
  <w:style w:type="character" w:customStyle="1" w:styleId="21">
    <w:name w:val="标题 2 字符"/>
    <w:basedOn w:val="15"/>
    <w:link w:val="3"/>
    <w:qFormat/>
    <w:uiPriority w:val="0"/>
    <w:rPr>
      <w:rFonts w:ascii="CG Times" w:hAnsi="CG Times" w:eastAsia="宋体" w:cs="Times New Roman"/>
      <w:b/>
      <w:sz w:val="30"/>
      <w:szCs w:val="20"/>
    </w:rPr>
  </w:style>
  <w:style w:type="character" w:customStyle="1" w:styleId="22">
    <w:name w:val="标题 3 字符"/>
    <w:basedOn w:val="15"/>
    <w:link w:val="5"/>
    <w:qFormat/>
    <w:uiPriority w:val="0"/>
    <w:rPr>
      <w:rFonts w:ascii="Times New Roman" w:hAnsi="Times New Roman" w:eastAsia="宋体" w:cs="Times New Roman"/>
      <w:b/>
      <w:sz w:val="28"/>
      <w:szCs w:val="20"/>
    </w:rPr>
  </w:style>
  <w:style w:type="character" w:customStyle="1" w:styleId="23">
    <w:name w:val="正文缩进 字符"/>
    <w:link w:val="4"/>
    <w:qFormat/>
    <w:uiPriority w:val="0"/>
  </w:style>
  <w:style w:type="character" w:customStyle="1" w:styleId="24">
    <w:name w:val="纯文本 字符"/>
    <w:link w:val="10"/>
    <w:qFormat/>
    <w:uiPriority w:val="0"/>
    <w:rPr>
      <w:rFonts w:ascii="宋体" w:hAnsi="Courier New" w:eastAsia="宋体"/>
    </w:rPr>
  </w:style>
  <w:style w:type="character" w:customStyle="1" w:styleId="25">
    <w:name w:val="正文文本 字符"/>
    <w:link w:val="9"/>
    <w:qFormat/>
    <w:uiPriority w:val="0"/>
    <w:rPr>
      <w:sz w:val="24"/>
      <w:szCs w:val="24"/>
    </w:rPr>
  </w:style>
  <w:style w:type="character" w:customStyle="1" w:styleId="26">
    <w:name w:val="批注文字 字符"/>
    <w:link w:val="8"/>
    <w:qFormat/>
    <w:uiPriority w:val="0"/>
    <w:rPr>
      <w:szCs w:val="24"/>
    </w:rPr>
  </w:style>
  <w:style w:type="character" w:customStyle="1" w:styleId="27">
    <w:name w:val="纯文本 Char1"/>
    <w:basedOn w:val="15"/>
    <w:semiHidden/>
    <w:qFormat/>
    <w:uiPriority w:val="99"/>
    <w:rPr>
      <w:rFonts w:ascii="宋体" w:hAnsi="Courier New" w:eastAsia="宋体" w:cs="Courier New"/>
      <w:szCs w:val="21"/>
    </w:rPr>
  </w:style>
  <w:style w:type="character" w:customStyle="1" w:styleId="28">
    <w:name w:val="批注文字 Char1"/>
    <w:basedOn w:val="15"/>
    <w:semiHidden/>
    <w:qFormat/>
    <w:uiPriority w:val="99"/>
    <w:rPr>
      <w:rFonts w:ascii="Times New Roman" w:hAnsi="Times New Roman" w:eastAsia="宋体" w:cs="Times New Roman"/>
      <w:szCs w:val="24"/>
    </w:rPr>
  </w:style>
  <w:style w:type="character" w:customStyle="1" w:styleId="29">
    <w:name w:val="正文文本 Char1"/>
    <w:basedOn w:val="15"/>
    <w:semiHidden/>
    <w:qFormat/>
    <w:uiPriority w:val="99"/>
    <w:rPr>
      <w:rFonts w:ascii="Times New Roman" w:hAnsi="Times New Roman" w:eastAsia="宋体" w:cs="Times New Roman"/>
      <w:szCs w:val="24"/>
    </w:rPr>
  </w:style>
  <w:style w:type="paragraph" w:customStyle="1" w:styleId="30">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31">
    <w:name w:val="内文"/>
    <w:qFormat/>
    <w:uiPriority w:val="0"/>
    <w:pPr>
      <w:widowControl w:val="0"/>
      <w:autoSpaceDE w:val="0"/>
      <w:autoSpaceDN w:val="0"/>
      <w:adjustRightInd w:val="0"/>
      <w:jc w:val="both"/>
    </w:pPr>
    <w:rPr>
      <w:rFonts w:ascii="宋体" w:hAnsi="Times New Roman" w:eastAsia="宋体" w:cs="Times New Roman"/>
      <w:color w:val="000000"/>
      <w:sz w:val="24"/>
      <w:lang w:val="en-US" w:eastAsia="zh-CN" w:bidi="ar-SA"/>
    </w:rPr>
  </w:style>
  <w:style w:type="paragraph" w:customStyle="1" w:styleId="32">
    <w:name w:val="表头文本"/>
    <w:basedOn w:val="1"/>
    <w:qFormat/>
    <w:uiPriority w:val="0"/>
    <w:pPr>
      <w:autoSpaceDE w:val="0"/>
      <w:autoSpaceDN w:val="0"/>
      <w:adjustRightInd w:val="0"/>
      <w:jc w:val="center"/>
    </w:pPr>
    <w:rPr>
      <w:b/>
      <w:kern w:val="0"/>
      <w:sz w:val="24"/>
      <w:szCs w:val="20"/>
    </w:rPr>
  </w:style>
  <w:style w:type="paragraph" w:customStyle="1" w:styleId="33">
    <w:name w:val="Table Paragraph"/>
    <w:basedOn w:val="1"/>
    <w:qFormat/>
    <w:uiPriority w:val="1"/>
    <w:pPr>
      <w:ind w:left="108"/>
    </w:pPr>
    <w:rPr>
      <w:rFonts w:ascii="宋体" w:hAnsi="宋体" w:cs="宋体"/>
      <w:lang w:val="it-IT" w:eastAsia="it-IT" w:bidi="it-IT"/>
    </w:rPr>
  </w:style>
  <w:style w:type="paragraph" w:customStyle="1" w:styleId="34">
    <w:name w:val="列出段落1"/>
    <w:basedOn w:val="1"/>
    <w:qFormat/>
    <w:uiPriority w:val="0"/>
    <w:pPr>
      <w:ind w:firstLine="420" w:firstLineChars="200"/>
    </w:pPr>
    <w:rPr>
      <w:rFonts w:ascii="Calibri" w:hAnsi="Calibri" w:cs="Calibri" w:eastAsiaTheme="minorEastAsia"/>
      <w:szCs w:val="21"/>
    </w:rPr>
  </w:style>
  <w:style w:type="paragraph" w:customStyle="1" w:styleId="35">
    <w:name w:val="标题6"/>
    <w:basedOn w:val="1"/>
    <w:next w:val="2"/>
    <w:qFormat/>
    <w:uiPriority w:val="0"/>
    <w:pPr>
      <w:widowControl/>
      <w:snapToGrid w:val="0"/>
      <w:spacing w:beforeLines="50" w:afterLines="50" w:line="520" w:lineRule="atLeast"/>
      <w:ind w:firstLine="200" w:firstLineChars="200"/>
    </w:pPr>
    <w:rPr>
      <w:rFonts w:cs="Arial"/>
      <w:b/>
      <w:sz w:val="24"/>
    </w:rPr>
  </w:style>
  <w:style w:type="paragraph" w:styleId="36">
    <w:name w:val="List Paragraph"/>
    <w:basedOn w:val="1"/>
    <w:unhideWhenUsed/>
    <w:qFormat/>
    <w:uiPriority w:val="34"/>
    <w:pPr>
      <w:ind w:firstLine="420" w:firstLineChars="200"/>
    </w:pPr>
  </w:style>
  <w:style w:type="paragraph" w:customStyle="1" w:styleId="37">
    <w:name w:val="_Style 1"/>
    <w:basedOn w:val="1"/>
    <w:qFormat/>
    <w:uiPriority w:val="34"/>
    <w:pPr>
      <w:ind w:firstLine="420" w:firstLineChars="200"/>
    </w:pPr>
    <w:rPr>
      <w:rFonts w:ascii="等线" w:hAnsi="等线" w:eastAsia="等线"/>
      <w:szCs w:val="22"/>
    </w:rPr>
  </w:style>
  <w:style w:type="paragraph" w:customStyle="1" w:styleId="38">
    <w:name w:val="列表段落1"/>
    <w:basedOn w:val="1"/>
    <w:qFormat/>
    <w:uiPriority w:val="99"/>
    <w:pPr>
      <w:ind w:firstLine="420" w:firstLineChars="200"/>
    </w:pPr>
  </w:style>
  <w:style w:type="paragraph" w:customStyle="1" w:styleId="39">
    <w:name w:val="列出段落3"/>
    <w:basedOn w:val="1"/>
    <w:unhideWhenUsed/>
    <w:qFormat/>
    <w:uiPriority w:val="99"/>
    <w:pPr>
      <w:widowControl w:val="0"/>
      <w:ind w:firstLine="420" w:firstLineChars="200"/>
      <w:jc w:val="both"/>
    </w:pPr>
    <w:rPr>
      <w:rFonts w:ascii="Calibri" w:hAnsi="Calibri"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0A28B-CF85-48F2-BB15-DEEF893F337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1805</Words>
  <Characters>2191</Characters>
  <Lines>36</Lines>
  <Paragraphs>10</Paragraphs>
  <TotalTime>8</TotalTime>
  <ScaleCrop>false</ScaleCrop>
  <LinksUpToDate>false</LinksUpToDate>
  <CharactersWithSpaces>2388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2019-07-16T03:05:00Z</dcterms:created>
  <dc:creator>Dylan</dc:creator>
  <cp:lastModifiedBy>王晓宇</cp:lastModifiedBy>
  <cp:lastPrinted>2022-08-19T01:42:00Z</cp:lastPrinted>
  <dcterms:modified xsi:type="dcterms:W3CDTF">2022-09-09T02:50:27Z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7B65FA2A9A9D4E19B674085EA7931E27</vt:lpwstr>
  </property>
</Properties>
</file>