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B8" w:rsidRDefault="00EA7D7F">
      <w:pPr>
        <w:jc w:val="center"/>
        <w:rPr>
          <w:rFonts w:ascii="宋体" w:hAnsi="宋体"/>
          <w:b/>
          <w:color w:val="000000" w:themeColor="text1"/>
          <w:sz w:val="32"/>
          <w:szCs w:val="32"/>
        </w:rPr>
      </w:pPr>
      <w:r>
        <w:rPr>
          <w:rFonts w:ascii="宋体" w:hAnsi="宋体" w:hint="eastAsia"/>
          <w:b/>
          <w:color w:val="000000" w:themeColor="text1"/>
          <w:sz w:val="32"/>
          <w:szCs w:val="32"/>
        </w:rPr>
        <w:t>中药配方颗粒招标参数</w:t>
      </w:r>
    </w:p>
    <w:p w:rsidR="00ED69B8" w:rsidRDefault="00ED69B8">
      <w:pPr>
        <w:adjustRightInd w:val="0"/>
        <w:snapToGrid w:val="0"/>
        <w:spacing w:line="360" w:lineRule="auto"/>
        <w:rPr>
          <w:rFonts w:ascii="宋体" w:hAnsi="宋体"/>
          <w:color w:val="000000" w:themeColor="text1"/>
          <w:sz w:val="28"/>
          <w:szCs w:val="28"/>
        </w:rPr>
      </w:pP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一、合格的投标人需具备的资质</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1、投标人必须是国家食品药品监督管理总局批准的中药配方颗粒试点生产企业，具备生产或经营毒性中药饮片资质，符合北京市相关主管部门关于中药配方颗粒的使用政策。</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2、投标人必须是符合《药品管理法》、</w:t>
      </w:r>
      <w:r>
        <w:rPr>
          <w:rFonts w:ascii="宋体" w:hAnsi="宋体" w:cs="宋体" w:hint="eastAsia"/>
          <w:bCs/>
          <w:sz w:val="28"/>
          <w:szCs w:val="28"/>
        </w:rPr>
        <w:t>《国家药监局综合司关于中药配方颗粒备案工作有关事项的通知》、《北京市中药配方颗粒管理实施细则（试行）》</w:t>
      </w:r>
      <w:r>
        <w:rPr>
          <w:rFonts w:ascii="宋体" w:hAnsi="宋体" w:hint="eastAsia"/>
          <w:color w:val="000000" w:themeColor="text1"/>
          <w:sz w:val="28"/>
          <w:szCs w:val="28"/>
        </w:rPr>
        <w:t>等相关文件要求，能依法生产、经营、资信状况良好的企业。</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3、投标人近三年未发生重大质量安全事故，如未发生生产、销售假劣药品的行为。</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4、具有独立承担民事责任的能力。</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5、具有良好的商业信誉和健全的财务会计制度，有第三方公司出具的3年内的财务审计报表。</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6、具有履行合同所必须的设备和专业技术能力。</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7、具有依法缴纳税收和社会保障资金的良好记录。</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8、参加本次采购前三年内，在经营活动中没有重大违法记录。</w:t>
      </w:r>
    </w:p>
    <w:p w:rsidR="00ED69B8" w:rsidRDefault="00EA7D7F">
      <w:pPr>
        <w:adjustRightInd w:val="0"/>
        <w:snapToGrid w:val="0"/>
        <w:spacing w:line="360" w:lineRule="auto"/>
        <w:rPr>
          <w:rFonts w:ascii="宋体" w:eastAsia="宋体" w:hAnsi="宋体" w:cs="宋体"/>
          <w:bCs/>
          <w:sz w:val="28"/>
          <w:szCs w:val="28"/>
        </w:rPr>
      </w:pPr>
      <w:r>
        <w:rPr>
          <w:rFonts w:hint="eastAsia"/>
          <w:sz w:val="28"/>
          <w:szCs w:val="28"/>
        </w:rPr>
        <w:t>9</w:t>
      </w:r>
      <w:r>
        <w:rPr>
          <w:rFonts w:hint="eastAsia"/>
          <w:sz w:val="28"/>
          <w:szCs w:val="28"/>
        </w:rPr>
        <w:t>、</w:t>
      </w:r>
      <w:r>
        <w:rPr>
          <w:rFonts w:ascii="宋体" w:eastAsia="宋体" w:hAnsi="宋体" w:cs="宋体" w:hint="eastAsia"/>
          <w:bCs/>
          <w:sz w:val="28"/>
          <w:szCs w:val="28"/>
        </w:rPr>
        <w:t>投标人无医药购销领域商业贿赂方面的不良记录。</w:t>
      </w:r>
    </w:p>
    <w:p w:rsidR="00ED69B8" w:rsidRDefault="00EA7D7F">
      <w:pPr>
        <w:adjustRightInd w:val="0"/>
        <w:snapToGrid w:val="0"/>
        <w:spacing w:line="360" w:lineRule="auto"/>
        <w:rPr>
          <w:rFonts w:ascii="宋体" w:hAnsi="宋体"/>
          <w:color w:val="000000" w:themeColor="text1"/>
          <w:sz w:val="28"/>
          <w:szCs w:val="28"/>
        </w:rPr>
      </w:pPr>
      <w:r>
        <w:rPr>
          <w:rFonts w:ascii="宋体" w:eastAsia="宋体" w:hAnsi="宋体" w:cs="宋体" w:hint="eastAsia"/>
          <w:bCs/>
          <w:sz w:val="28"/>
          <w:szCs w:val="28"/>
        </w:rPr>
        <w:t>10、</w:t>
      </w:r>
      <w:r>
        <w:rPr>
          <w:rFonts w:ascii="宋体" w:hAnsi="宋体" w:hint="eastAsia"/>
          <w:color w:val="000000" w:themeColor="text1"/>
          <w:sz w:val="28"/>
          <w:szCs w:val="28"/>
        </w:rPr>
        <w:t>单位负责人为同一人或者存在控股、管理关系的不同单位，不得同时参加本项目投标；法定代表人为同一人的两个以上法人、母公司、全资子公司及存在控股关系的公司不得同时参加本项目投标。【提供“全国企业信用信息公示系统”中查询打印的相关材料并加盖公章（需包含公司基本信息、股东信息及股权变更信息）】</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color w:val="000000" w:themeColor="text1"/>
          <w:sz w:val="28"/>
          <w:szCs w:val="28"/>
        </w:rPr>
        <w:t>二、评分方法及标准</w:t>
      </w:r>
    </w:p>
    <w:p w:rsidR="00ED69B8" w:rsidRDefault="00EA7D7F">
      <w:pPr>
        <w:adjustRightInd w:val="0"/>
        <w:snapToGrid w:val="0"/>
        <w:spacing w:line="360" w:lineRule="auto"/>
        <w:rPr>
          <w:rFonts w:ascii="宋体" w:hAnsi="宋体"/>
          <w:color w:val="000000" w:themeColor="text1"/>
          <w:sz w:val="28"/>
          <w:szCs w:val="28"/>
        </w:rPr>
      </w:pPr>
      <w:r>
        <w:rPr>
          <w:rFonts w:ascii="宋体" w:hAnsi="宋体" w:hint="eastAsia"/>
          <w:sz w:val="28"/>
          <w:szCs w:val="28"/>
        </w:rPr>
        <w:t>在进行招标及评分前我院将组织相关人员，根据投标人按照本公告规定</w:t>
      </w:r>
      <w:r>
        <w:rPr>
          <w:rFonts w:ascii="宋体" w:hAnsi="宋体" w:hint="eastAsia"/>
          <w:sz w:val="28"/>
          <w:szCs w:val="28"/>
        </w:rPr>
        <w:lastRenderedPageBreak/>
        <w:t>递交的资格证明文件和评标委员会认为其它必要的、合适的资料，对投标人的财务、技术和生产能力等进行审查。其审查结果将作为中标标准之一。如果审查未通过，采购人将拒绝该公司进入到招标及评分环节。</w:t>
      </w:r>
    </w:p>
    <w:p w:rsidR="00ED69B8" w:rsidRDefault="00EA7D7F">
      <w:pPr>
        <w:pStyle w:val="a4"/>
        <w:kinsoku w:val="0"/>
        <w:overflowPunct w:val="0"/>
        <w:adjustRightInd w:val="0"/>
        <w:snapToGrid w:val="0"/>
        <w:spacing w:before="60" w:line="360" w:lineRule="auto"/>
        <w:ind w:left="219"/>
        <w:rPr>
          <w:bCs/>
          <w:sz w:val="28"/>
          <w:szCs w:val="28"/>
        </w:rPr>
      </w:pPr>
      <w:r>
        <w:rPr>
          <w:rFonts w:hint="eastAsia"/>
          <w:bCs/>
          <w:sz w:val="28"/>
          <w:szCs w:val="28"/>
        </w:rPr>
        <w:t>（一）商务审核内容</w:t>
      </w:r>
    </w:p>
    <w:tbl>
      <w:tblPr>
        <w:tblW w:w="9072" w:type="dxa"/>
        <w:tblInd w:w="5" w:type="dxa"/>
        <w:tblLayout w:type="fixed"/>
        <w:tblCellMar>
          <w:left w:w="0" w:type="dxa"/>
          <w:right w:w="0" w:type="dxa"/>
        </w:tblCellMar>
        <w:tblLook w:val="04A0" w:firstRow="1" w:lastRow="0" w:firstColumn="1" w:lastColumn="0" w:noHBand="0" w:noVBand="1"/>
      </w:tblPr>
      <w:tblGrid>
        <w:gridCol w:w="993"/>
        <w:gridCol w:w="2409"/>
        <w:gridCol w:w="5670"/>
      </w:tblGrid>
      <w:tr w:rsidR="00ED69B8">
        <w:trPr>
          <w:trHeight w:val="620"/>
        </w:trPr>
        <w:tc>
          <w:tcPr>
            <w:tcW w:w="993"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left="269"/>
              <w:jc w:val="both"/>
              <w:rPr>
                <w:rFonts w:hAnsi="宋体"/>
                <w:color w:val="000000"/>
                <w:sz w:val="28"/>
                <w:szCs w:val="28"/>
              </w:rPr>
            </w:pPr>
            <w:r>
              <w:rPr>
                <w:rFonts w:hAnsi="宋体" w:hint="eastAsia"/>
                <w:color w:val="000000"/>
                <w:sz w:val="28"/>
                <w:szCs w:val="28"/>
              </w:rPr>
              <w:t>序号</w:t>
            </w:r>
          </w:p>
        </w:tc>
        <w:tc>
          <w:tcPr>
            <w:tcW w:w="2409"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708"/>
              <w:rPr>
                <w:rFonts w:hAnsi="宋体"/>
                <w:color w:val="000000"/>
                <w:sz w:val="28"/>
                <w:szCs w:val="28"/>
              </w:rPr>
            </w:pPr>
            <w:r>
              <w:rPr>
                <w:rFonts w:hAnsi="宋体" w:hint="eastAsia"/>
                <w:color w:val="000000"/>
                <w:sz w:val="28"/>
                <w:szCs w:val="28"/>
              </w:rPr>
              <w:t xml:space="preserve">  评审因素</w:t>
            </w:r>
          </w:p>
        </w:tc>
        <w:tc>
          <w:tcPr>
            <w:tcW w:w="5670"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left="929"/>
              <w:jc w:val="both"/>
              <w:rPr>
                <w:rFonts w:hAnsi="宋体"/>
                <w:color w:val="000000"/>
                <w:sz w:val="28"/>
                <w:szCs w:val="28"/>
              </w:rPr>
            </w:pPr>
            <w:r>
              <w:rPr>
                <w:rFonts w:hAnsi="宋体" w:hint="eastAsia"/>
                <w:color w:val="000000"/>
                <w:sz w:val="28"/>
                <w:szCs w:val="28"/>
              </w:rPr>
              <w:t>是否符合要求</w:t>
            </w:r>
          </w:p>
        </w:tc>
      </w:tr>
      <w:tr w:rsidR="00ED69B8">
        <w:trPr>
          <w:trHeight w:val="591"/>
        </w:trPr>
        <w:tc>
          <w:tcPr>
            <w:tcW w:w="993"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jc w:val="center"/>
              <w:rPr>
                <w:rFonts w:hAnsi="宋体"/>
                <w:sz w:val="28"/>
                <w:szCs w:val="28"/>
              </w:rPr>
            </w:pPr>
            <w:r>
              <w:rPr>
                <w:rFonts w:hAnsi="宋体" w:hint="eastAsia"/>
                <w:sz w:val="28"/>
                <w:szCs w:val="28"/>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rPr>
                <w:rFonts w:hAnsi="宋体"/>
                <w:sz w:val="28"/>
                <w:szCs w:val="28"/>
              </w:rPr>
            </w:pPr>
            <w:r>
              <w:rPr>
                <w:rFonts w:hAnsi="宋体" w:hint="eastAsia"/>
                <w:sz w:val="28"/>
                <w:szCs w:val="28"/>
              </w:rPr>
              <w:t>药品配送能力</w:t>
            </w:r>
          </w:p>
        </w:tc>
        <w:tc>
          <w:tcPr>
            <w:tcW w:w="5670"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rPr>
                <w:rFonts w:hAnsi="宋体"/>
                <w:sz w:val="28"/>
                <w:szCs w:val="28"/>
              </w:rPr>
            </w:pPr>
            <w:r>
              <w:rPr>
                <w:rFonts w:hAnsi="宋体" w:hint="eastAsia"/>
                <w:sz w:val="28"/>
                <w:szCs w:val="28"/>
              </w:rPr>
              <w:t>常规药品2天内到达；加急药品24小时内到达，药品送到医院指定位置。</w:t>
            </w:r>
          </w:p>
        </w:tc>
      </w:tr>
      <w:tr w:rsidR="00ED69B8">
        <w:trPr>
          <w:trHeight w:val="591"/>
        </w:trPr>
        <w:tc>
          <w:tcPr>
            <w:tcW w:w="993"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jc w:val="center"/>
              <w:rPr>
                <w:rFonts w:hAnsi="宋体"/>
                <w:sz w:val="28"/>
                <w:szCs w:val="28"/>
              </w:rPr>
            </w:pPr>
            <w:r>
              <w:rPr>
                <w:rFonts w:hAnsi="宋体" w:hint="eastAsia"/>
                <w:sz w:val="28"/>
                <w:szCs w:val="28"/>
              </w:rP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rPr>
                <w:rFonts w:hAnsi="宋体"/>
                <w:sz w:val="28"/>
                <w:szCs w:val="28"/>
              </w:rPr>
            </w:pPr>
            <w:r>
              <w:rPr>
                <w:rFonts w:hAnsi="宋体" w:hint="eastAsia"/>
                <w:sz w:val="28"/>
                <w:szCs w:val="28"/>
              </w:rPr>
              <w:t>增值及延伸配套服务能力</w:t>
            </w:r>
          </w:p>
        </w:tc>
        <w:tc>
          <w:tcPr>
            <w:tcW w:w="5670"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rPr>
                <w:rFonts w:hAnsi="宋体"/>
                <w:sz w:val="28"/>
                <w:szCs w:val="28"/>
              </w:rPr>
            </w:pPr>
            <w:r>
              <w:rPr>
                <w:rFonts w:hAnsi="宋体" w:hint="eastAsia"/>
                <w:sz w:val="28"/>
                <w:szCs w:val="28"/>
              </w:rPr>
              <w:t>投标人需提供自动化调剂、包装设备（材料）及配套设施，免费提供专业设备保养及检修，定期进行设备检修、维护、零配件更换。</w:t>
            </w:r>
          </w:p>
        </w:tc>
      </w:tr>
    </w:tbl>
    <w:p w:rsidR="00ED69B8" w:rsidRDefault="00ED69B8">
      <w:pPr>
        <w:pStyle w:val="a4"/>
        <w:kinsoku w:val="0"/>
        <w:overflowPunct w:val="0"/>
        <w:adjustRightInd w:val="0"/>
        <w:snapToGrid w:val="0"/>
        <w:spacing w:before="187" w:line="360" w:lineRule="auto"/>
        <w:ind w:rightChars="-27" w:right="-57"/>
        <w:rPr>
          <w:bCs/>
          <w:sz w:val="28"/>
          <w:szCs w:val="28"/>
        </w:rPr>
      </w:pPr>
    </w:p>
    <w:p w:rsidR="00ED69B8" w:rsidRDefault="00EA7D7F">
      <w:pPr>
        <w:pStyle w:val="a4"/>
        <w:kinsoku w:val="0"/>
        <w:overflowPunct w:val="0"/>
        <w:adjustRightInd w:val="0"/>
        <w:snapToGrid w:val="0"/>
        <w:spacing w:before="187" w:line="360" w:lineRule="auto"/>
        <w:ind w:rightChars="-27" w:right="-57"/>
        <w:rPr>
          <w:bCs/>
          <w:sz w:val="28"/>
          <w:szCs w:val="28"/>
        </w:rPr>
      </w:pPr>
      <w:r>
        <w:rPr>
          <w:rFonts w:hint="eastAsia"/>
          <w:bCs/>
          <w:sz w:val="28"/>
          <w:szCs w:val="28"/>
        </w:rPr>
        <w:t>（二）本次项目采用综合评分法。每一投标人的最终得分为所有评委给其评分的算数平均值。综合得分第一为本项目中标人。本项目评分标准为</w:t>
      </w:r>
    </w:p>
    <w:tbl>
      <w:tblPr>
        <w:tblW w:w="9087" w:type="dxa"/>
        <w:tblInd w:w="93" w:type="dxa"/>
        <w:tblLayout w:type="fixed"/>
        <w:tblLook w:val="04A0" w:firstRow="1" w:lastRow="0" w:firstColumn="1" w:lastColumn="0" w:noHBand="0" w:noVBand="1"/>
      </w:tblPr>
      <w:tblGrid>
        <w:gridCol w:w="2872"/>
        <w:gridCol w:w="6215"/>
      </w:tblGrid>
      <w:tr w:rsidR="00ED69B8">
        <w:trPr>
          <w:trHeight w:val="670"/>
        </w:trPr>
        <w:tc>
          <w:tcPr>
            <w:tcW w:w="28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评分因素</w:t>
            </w:r>
          </w:p>
        </w:tc>
        <w:tc>
          <w:tcPr>
            <w:tcW w:w="6215" w:type="dxa"/>
            <w:tcBorders>
              <w:top w:val="single" w:sz="8" w:space="0" w:color="000000"/>
              <w:left w:val="nil"/>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分值分配</w:t>
            </w:r>
          </w:p>
        </w:tc>
      </w:tr>
      <w:tr w:rsidR="00ED69B8">
        <w:trPr>
          <w:trHeight w:val="563"/>
        </w:trPr>
        <w:tc>
          <w:tcPr>
            <w:tcW w:w="2872" w:type="dxa"/>
            <w:tcBorders>
              <w:top w:val="nil"/>
              <w:left w:val="single" w:sz="8" w:space="0" w:color="000000"/>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商务部分</w:t>
            </w:r>
          </w:p>
        </w:tc>
        <w:tc>
          <w:tcPr>
            <w:tcW w:w="6215" w:type="dxa"/>
            <w:tcBorders>
              <w:top w:val="nil"/>
              <w:left w:val="nil"/>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left"/>
              <w:textAlignment w:val="top"/>
              <w:rPr>
                <w:rFonts w:hAnsi="宋体"/>
                <w:sz w:val="28"/>
                <w:szCs w:val="28"/>
              </w:rPr>
            </w:pPr>
            <w:r>
              <w:rPr>
                <w:rFonts w:hAnsi="宋体" w:hint="eastAsia"/>
                <w:sz w:val="28"/>
                <w:szCs w:val="28"/>
              </w:rPr>
              <w:t>投标人资质审核通过后进入技术标评审，未通过者不得进入技术标环节</w:t>
            </w:r>
          </w:p>
        </w:tc>
      </w:tr>
      <w:tr w:rsidR="00ED69B8">
        <w:trPr>
          <w:trHeight w:val="670"/>
        </w:trPr>
        <w:tc>
          <w:tcPr>
            <w:tcW w:w="2872" w:type="dxa"/>
            <w:tcBorders>
              <w:top w:val="nil"/>
              <w:left w:val="single" w:sz="8" w:space="0" w:color="000000"/>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技术部分</w:t>
            </w:r>
          </w:p>
        </w:tc>
        <w:tc>
          <w:tcPr>
            <w:tcW w:w="6215" w:type="dxa"/>
            <w:tcBorders>
              <w:top w:val="nil"/>
              <w:left w:val="nil"/>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100</w:t>
            </w:r>
            <w:r>
              <w:rPr>
                <w:rFonts w:hAnsi="宋体" w:hint="eastAsia"/>
                <w:color w:val="000000"/>
                <w:sz w:val="28"/>
                <w:szCs w:val="28"/>
              </w:rPr>
              <w:t>分</w:t>
            </w:r>
          </w:p>
        </w:tc>
      </w:tr>
      <w:tr w:rsidR="00ED69B8">
        <w:trPr>
          <w:trHeight w:val="692"/>
        </w:trPr>
        <w:tc>
          <w:tcPr>
            <w:tcW w:w="2872" w:type="dxa"/>
            <w:tcBorders>
              <w:top w:val="nil"/>
              <w:left w:val="single" w:sz="8" w:space="0" w:color="000000"/>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合计</w:t>
            </w:r>
          </w:p>
        </w:tc>
        <w:tc>
          <w:tcPr>
            <w:tcW w:w="6215" w:type="dxa"/>
            <w:tcBorders>
              <w:top w:val="nil"/>
              <w:left w:val="nil"/>
              <w:bottom w:val="single" w:sz="8" w:space="0" w:color="000000"/>
              <w:right w:val="single" w:sz="8" w:space="0" w:color="000000"/>
            </w:tcBorders>
            <w:shd w:val="clear" w:color="auto" w:fill="auto"/>
            <w:vAlign w:val="center"/>
          </w:tcPr>
          <w:p w:rsidR="00ED69B8" w:rsidRDefault="00EA7D7F">
            <w:pPr>
              <w:widowControl/>
              <w:adjustRightInd w:val="0"/>
              <w:snapToGrid w:val="0"/>
              <w:spacing w:line="360" w:lineRule="auto"/>
              <w:jc w:val="center"/>
              <w:textAlignment w:val="top"/>
              <w:rPr>
                <w:rFonts w:hAnsi="宋体"/>
                <w:color w:val="000000"/>
                <w:sz w:val="28"/>
                <w:szCs w:val="28"/>
              </w:rPr>
            </w:pPr>
            <w:r>
              <w:rPr>
                <w:rFonts w:hAnsi="宋体" w:hint="eastAsia"/>
                <w:color w:val="000000"/>
                <w:sz w:val="28"/>
                <w:szCs w:val="28"/>
              </w:rPr>
              <w:t>100</w:t>
            </w:r>
            <w:r>
              <w:rPr>
                <w:rFonts w:hAnsi="宋体" w:hint="eastAsia"/>
                <w:color w:val="000000"/>
                <w:sz w:val="28"/>
                <w:szCs w:val="28"/>
              </w:rPr>
              <w:t>分</w:t>
            </w:r>
          </w:p>
        </w:tc>
      </w:tr>
    </w:tbl>
    <w:p w:rsidR="00ED69B8" w:rsidRDefault="00ED69B8">
      <w:pPr>
        <w:adjustRightInd w:val="0"/>
        <w:snapToGrid w:val="0"/>
        <w:spacing w:line="360" w:lineRule="auto"/>
        <w:rPr>
          <w:rFonts w:ascii="宋体" w:hAnsi="宋体"/>
          <w:bCs/>
          <w:sz w:val="28"/>
          <w:szCs w:val="28"/>
        </w:rPr>
      </w:pPr>
    </w:p>
    <w:p w:rsidR="00ED69B8" w:rsidRDefault="00ED69B8">
      <w:pPr>
        <w:adjustRightInd w:val="0"/>
        <w:snapToGrid w:val="0"/>
        <w:spacing w:line="360" w:lineRule="auto"/>
        <w:rPr>
          <w:rFonts w:ascii="宋体" w:hAnsi="宋体"/>
          <w:bCs/>
          <w:sz w:val="28"/>
          <w:szCs w:val="28"/>
        </w:rPr>
      </w:pPr>
    </w:p>
    <w:p w:rsidR="00ED69B8" w:rsidRDefault="00ED69B8">
      <w:pPr>
        <w:adjustRightInd w:val="0"/>
        <w:snapToGrid w:val="0"/>
        <w:spacing w:line="360" w:lineRule="auto"/>
        <w:rPr>
          <w:rFonts w:ascii="宋体" w:hAnsi="宋体"/>
          <w:bCs/>
          <w:sz w:val="28"/>
          <w:szCs w:val="28"/>
        </w:rPr>
      </w:pPr>
    </w:p>
    <w:p w:rsidR="00ED69B8" w:rsidRDefault="00ED69B8">
      <w:pPr>
        <w:adjustRightInd w:val="0"/>
        <w:snapToGrid w:val="0"/>
        <w:spacing w:line="360" w:lineRule="auto"/>
        <w:rPr>
          <w:rFonts w:ascii="宋体" w:hAnsi="宋体"/>
          <w:bCs/>
          <w:sz w:val="28"/>
          <w:szCs w:val="28"/>
        </w:rPr>
      </w:pPr>
    </w:p>
    <w:tbl>
      <w:tblPr>
        <w:tblpPr w:leftFromText="180" w:rightFromText="180" w:vertAnchor="text" w:horzAnchor="page" w:tblpX="1628" w:tblpY="336"/>
        <w:tblOverlap w:val="never"/>
        <w:tblW w:w="9077" w:type="dxa"/>
        <w:tblLayout w:type="fixed"/>
        <w:tblCellMar>
          <w:left w:w="0" w:type="dxa"/>
          <w:right w:w="0" w:type="dxa"/>
        </w:tblCellMar>
        <w:tblLook w:val="04A0" w:firstRow="1" w:lastRow="0" w:firstColumn="1" w:lastColumn="0" w:noHBand="0" w:noVBand="1"/>
      </w:tblPr>
      <w:tblGrid>
        <w:gridCol w:w="714"/>
        <w:gridCol w:w="1276"/>
        <w:gridCol w:w="850"/>
        <w:gridCol w:w="6237"/>
      </w:tblGrid>
      <w:tr w:rsidR="00ED69B8">
        <w:trPr>
          <w:trHeight w:val="416"/>
        </w:trPr>
        <w:tc>
          <w:tcPr>
            <w:tcW w:w="714"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lastRenderedPageBreak/>
              <w:t>内容</w:t>
            </w:r>
          </w:p>
        </w:tc>
        <w:tc>
          <w:tcPr>
            <w:tcW w:w="1276"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评分项目</w:t>
            </w:r>
          </w:p>
        </w:tc>
        <w:tc>
          <w:tcPr>
            <w:tcW w:w="850"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分值</w:t>
            </w:r>
          </w:p>
        </w:tc>
        <w:tc>
          <w:tcPr>
            <w:tcW w:w="6237"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评分标准</w:t>
            </w:r>
          </w:p>
        </w:tc>
      </w:tr>
      <w:tr w:rsidR="00ED69B8">
        <w:trPr>
          <w:trHeight w:val="558"/>
        </w:trPr>
        <w:tc>
          <w:tcPr>
            <w:tcW w:w="714" w:type="dxa"/>
            <w:vMerge w:val="restart"/>
            <w:tcBorders>
              <w:top w:val="single" w:sz="4" w:space="0" w:color="000000"/>
              <w:left w:val="single" w:sz="4" w:space="0" w:color="000000"/>
              <w:bottom w:val="single" w:sz="4" w:space="0" w:color="000000"/>
              <w:right w:val="single" w:sz="4" w:space="0" w:color="000000"/>
            </w:tcBorders>
          </w:tcPr>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jc w:val="center"/>
              <w:rPr>
                <w:rFonts w:hAnsi="宋体"/>
                <w:color w:val="000000"/>
                <w:sz w:val="28"/>
                <w:szCs w:val="28"/>
              </w:rPr>
            </w:pPr>
          </w:p>
          <w:p w:rsidR="00ED69B8" w:rsidRDefault="00ED69B8">
            <w:pPr>
              <w:pStyle w:val="TableParagraph"/>
              <w:kinsoku w:val="0"/>
              <w:overflowPunct w:val="0"/>
              <w:snapToGrid w:val="0"/>
              <w:spacing w:line="360" w:lineRule="auto"/>
              <w:ind w:right="-15"/>
              <w:rPr>
                <w:rFonts w:hAnsi="宋体"/>
                <w:color w:val="000000"/>
                <w:sz w:val="28"/>
                <w:szCs w:val="28"/>
              </w:rPr>
            </w:pPr>
          </w:p>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技术部分</w:t>
            </w:r>
          </w:p>
          <w:p w:rsidR="00ED69B8" w:rsidRDefault="00EA7D7F">
            <w:pPr>
              <w:pStyle w:val="TableParagraph"/>
              <w:kinsoku w:val="0"/>
              <w:overflowPunct w:val="0"/>
              <w:snapToGrid w:val="0"/>
              <w:spacing w:line="360" w:lineRule="auto"/>
              <w:ind w:right="-15"/>
              <w:jc w:val="center"/>
              <w:rPr>
                <w:rFonts w:hAnsi="宋体"/>
                <w:color w:val="000000"/>
              </w:rPr>
            </w:pPr>
            <w:r>
              <w:rPr>
                <w:rFonts w:hAnsi="宋体" w:hint="eastAsia"/>
                <w:color w:val="000000"/>
              </w:rPr>
              <w:t>（100分）</w:t>
            </w:r>
          </w:p>
        </w:tc>
        <w:tc>
          <w:tcPr>
            <w:tcW w:w="1276"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产品价格合理性</w:t>
            </w:r>
          </w:p>
        </w:tc>
        <w:tc>
          <w:tcPr>
            <w:tcW w:w="850"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40</w:t>
            </w:r>
          </w:p>
        </w:tc>
        <w:tc>
          <w:tcPr>
            <w:tcW w:w="6237" w:type="dxa"/>
            <w:tcBorders>
              <w:top w:val="single" w:sz="4" w:space="0" w:color="000000"/>
              <w:left w:val="single" w:sz="4" w:space="0" w:color="000000"/>
              <w:bottom w:val="single" w:sz="4" w:space="0" w:color="000000"/>
              <w:right w:val="single" w:sz="4" w:space="0" w:color="000000"/>
            </w:tcBorders>
          </w:tcPr>
          <w:p w:rsidR="00ED69B8" w:rsidRDefault="00EA7D7F">
            <w:pPr>
              <w:pStyle w:val="TableParagraph"/>
              <w:kinsoku w:val="0"/>
              <w:overflowPunct w:val="0"/>
              <w:snapToGrid w:val="0"/>
              <w:spacing w:line="360" w:lineRule="auto"/>
              <w:ind w:right="-15"/>
              <w:rPr>
                <w:rFonts w:hAnsi="宋体"/>
                <w:sz w:val="28"/>
                <w:szCs w:val="28"/>
              </w:rPr>
            </w:pPr>
            <w:r>
              <w:rPr>
                <w:rFonts w:hAnsi="宋体" w:hint="eastAsia"/>
                <w:sz w:val="28"/>
                <w:szCs w:val="28"/>
              </w:rPr>
              <w:t>以院方提供的颗粒品种目录（附件</w:t>
            </w:r>
            <w:r w:rsidR="005F26E3">
              <w:rPr>
                <w:rFonts w:hAnsi="宋体" w:hint="eastAsia"/>
                <w:sz w:val="28"/>
                <w:szCs w:val="28"/>
              </w:rPr>
              <w:t>2</w:t>
            </w:r>
            <w:r>
              <w:rPr>
                <w:rFonts w:hAnsi="宋体" w:hint="eastAsia"/>
                <w:sz w:val="28"/>
                <w:szCs w:val="28"/>
              </w:rPr>
              <w:t>：我院100种常用中药饮片），折算成每g饮片报价,与使用量相乘，合计总价为最终投标报价。总价按照从低到高依次进行排名，第一名40分，第二名30分，第三名20分，第四名10分，第五名及以后为零分。</w:t>
            </w:r>
          </w:p>
        </w:tc>
      </w:tr>
      <w:tr w:rsidR="00ED69B8">
        <w:trPr>
          <w:trHeight w:val="1243"/>
        </w:trPr>
        <w:tc>
          <w:tcPr>
            <w:tcW w:w="714" w:type="dxa"/>
            <w:vMerge/>
            <w:tcBorders>
              <w:top w:val="single" w:sz="4" w:space="0" w:color="000000"/>
              <w:left w:val="single" w:sz="4" w:space="0" w:color="000000"/>
              <w:bottom w:val="single" w:sz="4" w:space="0" w:color="000000"/>
              <w:right w:val="single" w:sz="4" w:space="0" w:color="000000"/>
            </w:tcBorders>
          </w:tcPr>
          <w:p w:rsidR="00ED69B8" w:rsidRDefault="00ED69B8">
            <w:pPr>
              <w:pStyle w:val="TableParagraph"/>
              <w:kinsoku w:val="0"/>
              <w:overflowPunct w:val="0"/>
              <w:snapToGrid w:val="0"/>
              <w:spacing w:line="360" w:lineRule="auto"/>
              <w:ind w:right="-15"/>
              <w:jc w:val="center"/>
              <w:rPr>
                <w:rFonts w:hAnsi="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themeColor="text1"/>
                <w:sz w:val="28"/>
                <w:szCs w:val="28"/>
              </w:rPr>
            </w:pPr>
            <w:r>
              <w:rPr>
                <w:rFonts w:hAnsi="宋体" w:hint="eastAsia"/>
                <w:color w:val="000000" w:themeColor="text1"/>
                <w:sz w:val="28"/>
                <w:szCs w:val="28"/>
              </w:rPr>
              <w:t>产品数量供应保障能力</w:t>
            </w:r>
          </w:p>
        </w:tc>
        <w:tc>
          <w:tcPr>
            <w:tcW w:w="850" w:type="dxa"/>
            <w:tcBorders>
              <w:top w:val="single" w:sz="4" w:space="0" w:color="000000"/>
              <w:left w:val="single" w:sz="4" w:space="0" w:color="000000"/>
              <w:bottom w:val="single" w:sz="4" w:space="0" w:color="000000"/>
              <w:right w:val="single" w:sz="4" w:space="0" w:color="000000"/>
            </w:tcBorders>
            <w:vAlign w:val="center"/>
          </w:tcPr>
          <w:p w:rsidR="00ED69B8" w:rsidRPr="00EA7D7F" w:rsidRDefault="00EA7D7F">
            <w:pPr>
              <w:pStyle w:val="TableParagraph"/>
              <w:kinsoku w:val="0"/>
              <w:overflowPunct w:val="0"/>
              <w:snapToGrid w:val="0"/>
              <w:spacing w:line="360" w:lineRule="auto"/>
              <w:ind w:right="-15"/>
              <w:jc w:val="center"/>
              <w:rPr>
                <w:rFonts w:hAnsi="宋体"/>
                <w:color w:val="000000" w:themeColor="text1"/>
                <w:sz w:val="28"/>
                <w:szCs w:val="28"/>
              </w:rPr>
            </w:pPr>
            <w:r w:rsidRPr="00EA7D7F">
              <w:rPr>
                <w:rFonts w:hAnsi="宋体" w:hint="eastAsia"/>
                <w:color w:val="000000" w:themeColor="text1"/>
                <w:sz w:val="28"/>
                <w:szCs w:val="28"/>
              </w:rPr>
              <w:t>45</w:t>
            </w:r>
          </w:p>
        </w:tc>
        <w:tc>
          <w:tcPr>
            <w:tcW w:w="6237" w:type="dxa"/>
            <w:tcBorders>
              <w:top w:val="single" w:sz="4" w:space="0" w:color="000000"/>
              <w:left w:val="single" w:sz="4" w:space="0" w:color="000000"/>
              <w:bottom w:val="single" w:sz="4" w:space="0" w:color="000000"/>
              <w:right w:val="single" w:sz="4" w:space="0" w:color="000000"/>
            </w:tcBorders>
          </w:tcPr>
          <w:p w:rsidR="00ED69B8" w:rsidRDefault="00EA7D7F">
            <w:pPr>
              <w:pStyle w:val="TableParagraph"/>
              <w:kinsoku w:val="0"/>
              <w:overflowPunct w:val="0"/>
              <w:snapToGrid w:val="0"/>
              <w:spacing w:line="360" w:lineRule="auto"/>
              <w:ind w:right="-15"/>
              <w:rPr>
                <w:rFonts w:hAnsi="宋体"/>
                <w:color w:val="000000" w:themeColor="text1"/>
                <w:sz w:val="28"/>
                <w:szCs w:val="28"/>
              </w:rPr>
            </w:pPr>
            <w:r>
              <w:rPr>
                <w:rFonts w:hAnsi="宋体" w:hint="eastAsia"/>
                <w:color w:val="000000" w:themeColor="text1"/>
                <w:sz w:val="28"/>
                <w:szCs w:val="28"/>
              </w:rPr>
              <w:t>符合现行北京市配方颗粒管理政策，能够保障供应我院所需（附件</w:t>
            </w:r>
            <w:r w:rsidR="005F26E3">
              <w:rPr>
                <w:rFonts w:hAnsi="宋体" w:hint="eastAsia"/>
                <w:color w:val="000000" w:themeColor="text1"/>
                <w:sz w:val="28"/>
                <w:szCs w:val="28"/>
              </w:rPr>
              <w:t>3</w:t>
            </w:r>
            <w:r>
              <w:rPr>
                <w:rFonts w:hAnsi="宋体" w:hint="eastAsia"/>
                <w:color w:val="000000" w:themeColor="text1"/>
                <w:sz w:val="28"/>
                <w:szCs w:val="28"/>
              </w:rPr>
              <w:t>：我院中药饮片目录）的符合国家标准或北京市标准备案的中药配方颗粒品种数量</w:t>
            </w:r>
            <w:bookmarkStart w:id="0" w:name="_GoBack"/>
            <w:bookmarkEnd w:id="0"/>
            <w:r>
              <w:rPr>
                <w:rFonts w:hAnsi="宋体" w:hint="eastAsia"/>
                <w:color w:val="000000" w:themeColor="text1"/>
                <w:sz w:val="28"/>
                <w:szCs w:val="28"/>
              </w:rPr>
              <w:t>。</w:t>
            </w:r>
          </w:p>
          <w:p w:rsidR="00ED69B8" w:rsidRDefault="00EA7D7F">
            <w:pPr>
              <w:pStyle w:val="TableParagraph"/>
              <w:kinsoku w:val="0"/>
              <w:overflowPunct w:val="0"/>
              <w:snapToGrid w:val="0"/>
              <w:spacing w:line="360" w:lineRule="auto"/>
              <w:ind w:right="-15"/>
              <w:rPr>
                <w:rFonts w:hAnsi="宋体"/>
                <w:sz w:val="28"/>
                <w:szCs w:val="28"/>
              </w:rPr>
            </w:pPr>
            <w:r>
              <w:rPr>
                <w:rFonts w:hAnsi="宋体" w:hint="eastAsia"/>
                <w:color w:val="000000" w:themeColor="text1"/>
                <w:sz w:val="28"/>
                <w:szCs w:val="28"/>
              </w:rPr>
              <w:t>保障供应的数量按照从多到少依次进行排名，</w:t>
            </w:r>
            <w:r>
              <w:rPr>
                <w:rFonts w:hAnsi="宋体" w:hint="eastAsia"/>
                <w:sz w:val="28"/>
                <w:szCs w:val="28"/>
              </w:rPr>
              <w:t>第一名45分，第二名35分，第三名25分，第四名15分，第五名及以后为0-5分。</w:t>
            </w:r>
          </w:p>
        </w:tc>
      </w:tr>
      <w:tr w:rsidR="00ED69B8">
        <w:trPr>
          <w:trHeight w:val="3065"/>
        </w:trPr>
        <w:tc>
          <w:tcPr>
            <w:tcW w:w="714" w:type="dxa"/>
            <w:vMerge/>
            <w:tcBorders>
              <w:top w:val="single" w:sz="4" w:space="0" w:color="000000"/>
              <w:left w:val="single" w:sz="4" w:space="0" w:color="000000"/>
              <w:bottom w:val="single" w:sz="4" w:space="0" w:color="000000"/>
              <w:right w:val="single" w:sz="4" w:space="0" w:color="000000"/>
            </w:tcBorders>
          </w:tcPr>
          <w:p w:rsidR="00ED69B8" w:rsidRDefault="00ED69B8">
            <w:pPr>
              <w:pStyle w:val="TableParagraph"/>
              <w:kinsoku w:val="0"/>
              <w:overflowPunct w:val="0"/>
              <w:snapToGrid w:val="0"/>
              <w:spacing w:line="360" w:lineRule="auto"/>
              <w:ind w:right="-15"/>
              <w:jc w:val="center"/>
              <w:rPr>
                <w:rFonts w:hAnsi="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市场占有情况</w:t>
            </w:r>
          </w:p>
        </w:tc>
        <w:tc>
          <w:tcPr>
            <w:tcW w:w="850" w:type="dxa"/>
            <w:tcBorders>
              <w:top w:val="single" w:sz="4" w:space="0" w:color="000000"/>
              <w:left w:val="single" w:sz="4" w:space="0" w:color="000000"/>
              <w:bottom w:val="single" w:sz="4" w:space="0" w:color="000000"/>
              <w:right w:val="single" w:sz="4" w:space="0" w:color="000000"/>
            </w:tcBorders>
            <w:vAlign w:val="center"/>
          </w:tcPr>
          <w:p w:rsidR="00ED69B8" w:rsidRPr="00EA7D7F" w:rsidRDefault="00EA7D7F">
            <w:pPr>
              <w:pStyle w:val="TableParagraph"/>
              <w:kinsoku w:val="0"/>
              <w:overflowPunct w:val="0"/>
              <w:snapToGrid w:val="0"/>
              <w:spacing w:line="360" w:lineRule="auto"/>
              <w:ind w:right="-15"/>
              <w:jc w:val="center"/>
              <w:rPr>
                <w:rFonts w:hAnsi="宋体"/>
                <w:color w:val="000000"/>
                <w:sz w:val="28"/>
                <w:szCs w:val="28"/>
              </w:rPr>
            </w:pPr>
            <w:r w:rsidRPr="00EA7D7F">
              <w:rPr>
                <w:rFonts w:hAnsi="宋体" w:hint="eastAsia"/>
                <w:color w:val="000000"/>
                <w:sz w:val="28"/>
                <w:szCs w:val="28"/>
              </w:rPr>
              <w:t>5</w:t>
            </w:r>
          </w:p>
        </w:tc>
        <w:tc>
          <w:tcPr>
            <w:tcW w:w="6237" w:type="dxa"/>
            <w:tcBorders>
              <w:top w:val="single" w:sz="4" w:space="0" w:color="000000"/>
              <w:left w:val="single" w:sz="4" w:space="0" w:color="000000"/>
              <w:bottom w:val="single" w:sz="4" w:space="0" w:color="000000"/>
              <w:right w:val="single" w:sz="4" w:space="0" w:color="000000"/>
            </w:tcBorders>
          </w:tcPr>
          <w:p w:rsidR="00ED69B8" w:rsidRDefault="00EA7D7F">
            <w:pPr>
              <w:pStyle w:val="TableParagraph"/>
              <w:kinsoku w:val="0"/>
              <w:overflowPunct w:val="0"/>
              <w:snapToGrid w:val="0"/>
              <w:spacing w:line="360" w:lineRule="auto"/>
              <w:ind w:right="-15"/>
              <w:rPr>
                <w:rFonts w:hAnsi="宋体"/>
                <w:sz w:val="28"/>
                <w:szCs w:val="28"/>
              </w:rPr>
            </w:pPr>
            <w:r>
              <w:rPr>
                <w:rFonts w:hAnsi="宋体" w:hint="eastAsia"/>
                <w:sz w:val="28"/>
                <w:szCs w:val="28"/>
              </w:rPr>
              <w:t>投标人供应配方颗粒的三级医院数量，每提供一份有效材料得1分，最高 5 分。（至少应包含合同首页、合同总价页、供货清单页（包含供货单价）、合同签字盖章页、并提供合同增值税发票，以上材料须提供复印件并加盖公章，所有信息必须清晰，否则不予认可。）</w:t>
            </w:r>
          </w:p>
        </w:tc>
      </w:tr>
      <w:tr w:rsidR="00ED69B8">
        <w:trPr>
          <w:trHeight w:val="557"/>
        </w:trPr>
        <w:tc>
          <w:tcPr>
            <w:tcW w:w="714" w:type="dxa"/>
            <w:vMerge/>
            <w:tcBorders>
              <w:top w:val="nil"/>
              <w:left w:val="single" w:sz="4" w:space="0" w:color="000000"/>
              <w:bottom w:val="single" w:sz="4" w:space="0" w:color="000000"/>
              <w:right w:val="single" w:sz="4" w:space="0" w:color="000000"/>
            </w:tcBorders>
          </w:tcPr>
          <w:p w:rsidR="00ED69B8" w:rsidRDefault="00ED69B8">
            <w:pPr>
              <w:pStyle w:val="TableParagraph"/>
              <w:kinsoku w:val="0"/>
              <w:overflowPunct w:val="0"/>
              <w:snapToGrid w:val="0"/>
              <w:spacing w:line="360" w:lineRule="auto"/>
              <w:ind w:right="-15"/>
              <w:jc w:val="center"/>
              <w:rPr>
                <w:rFonts w:hAnsi="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科研技术能力</w:t>
            </w:r>
          </w:p>
          <w:p w:rsidR="00ED69B8" w:rsidRDefault="00ED69B8">
            <w:pPr>
              <w:pStyle w:val="TableParagraph"/>
              <w:kinsoku w:val="0"/>
              <w:overflowPunct w:val="0"/>
              <w:snapToGrid w:val="0"/>
              <w:spacing w:line="360" w:lineRule="auto"/>
              <w:ind w:right="-15"/>
              <w:jc w:val="center"/>
              <w:rPr>
                <w:rFonts w:hAnsi="宋体"/>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D69B8" w:rsidRDefault="00EA7D7F">
            <w:pPr>
              <w:pStyle w:val="TableParagraph"/>
              <w:kinsoku w:val="0"/>
              <w:overflowPunct w:val="0"/>
              <w:snapToGrid w:val="0"/>
              <w:spacing w:line="360" w:lineRule="auto"/>
              <w:ind w:right="-15"/>
              <w:jc w:val="center"/>
              <w:rPr>
                <w:rFonts w:hAnsi="宋体"/>
                <w:color w:val="000000"/>
                <w:sz w:val="28"/>
                <w:szCs w:val="28"/>
              </w:rPr>
            </w:pPr>
            <w:r>
              <w:rPr>
                <w:rFonts w:hAnsi="宋体" w:hint="eastAsia"/>
                <w:color w:val="000000"/>
                <w:sz w:val="28"/>
                <w:szCs w:val="28"/>
              </w:rPr>
              <w:t>10</w:t>
            </w:r>
          </w:p>
        </w:tc>
        <w:tc>
          <w:tcPr>
            <w:tcW w:w="6237" w:type="dxa"/>
            <w:tcBorders>
              <w:top w:val="single" w:sz="4" w:space="0" w:color="000000"/>
              <w:left w:val="single" w:sz="4" w:space="0" w:color="000000"/>
              <w:bottom w:val="single" w:sz="4" w:space="0" w:color="000000"/>
              <w:right w:val="single" w:sz="4" w:space="0" w:color="000000"/>
            </w:tcBorders>
          </w:tcPr>
          <w:p w:rsidR="00ED69B8" w:rsidRDefault="00EA7D7F">
            <w:pPr>
              <w:pStyle w:val="TableParagraph"/>
              <w:kinsoku w:val="0"/>
              <w:overflowPunct w:val="0"/>
              <w:snapToGrid w:val="0"/>
              <w:spacing w:line="360" w:lineRule="auto"/>
              <w:ind w:right="-15"/>
              <w:rPr>
                <w:rFonts w:hAnsi="宋体"/>
                <w:sz w:val="28"/>
                <w:szCs w:val="28"/>
              </w:rPr>
            </w:pPr>
            <w:r>
              <w:rPr>
                <w:rFonts w:hAnsi="宋体" w:hint="eastAsia"/>
                <w:sz w:val="28"/>
                <w:szCs w:val="28"/>
              </w:rPr>
              <w:t>中药配方颗粒研究获奖奖项，有中药配方颗粒国家级科学进步奖得2分；省市级科学进步奖得1分，无不得分。</w:t>
            </w:r>
          </w:p>
          <w:p w:rsidR="00ED69B8" w:rsidRDefault="00EA7D7F">
            <w:pPr>
              <w:pStyle w:val="TableParagraph"/>
              <w:kinsoku w:val="0"/>
              <w:overflowPunct w:val="0"/>
              <w:snapToGrid w:val="0"/>
              <w:spacing w:line="360" w:lineRule="auto"/>
              <w:ind w:right="-15"/>
              <w:rPr>
                <w:rFonts w:hAnsi="宋体"/>
                <w:sz w:val="28"/>
                <w:szCs w:val="28"/>
              </w:rPr>
            </w:pPr>
            <w:r>
              <w:rPr>
                <w:rFonts w:hAnsi="宋体" w:hint="eastAsia"/>
                <w:sz w:val="28"/>
                <w:szCs w:val="28"/>
              </w:rPr>
              <w:t>实验室通过CNAS认证，通过认证的检测项目涵盖中药材及中药配方颗粒。有CNAS认证实验室得3分，无不得分；</w:t>
            </w:r>
          </w:p>
          <w:p w:rsidR="00ED69B8" w:rsidRDefault="00EA7D7F">
            <w:pPr>
              <w:pStyle w:val="TableParagraph"/>
              <w:kinsoku w:val="0"/>
              <w:overflowPunct w:val="0"/>
              <w:snapToGrid w:val="0"/>
              <w:spacing w:line="360" w:lineRule="auto"/>
              <w:ind w:right="-15"/>
              <w:rPr>
                <w:rFonts w:hAnsi="宋体"/>
                <w:color w:val="000000"/>
                <w:sz w:val="28"/>
                <w:szCs w:val="28"/>
              </w:rPr>
            </w:pPr>
            <w:r>
              <w:rPr>
                <w:rFonts w:hAnsi="宋体" w:hint="eastAsia"/>
                <w:sz w:val="28"/>
                <w:szCs w:val="28"/>
              </w:rPr>
              <w:lastRenderedPageBreak/>
              <w:t>中药材可溯源软件系统，产品包装袋便查信息，每袋产品有</w:t>
            </w:r>
            <w:proofErr w:type="gramStart"/>
            <w:r>
              <w:rPr>
                <w:rFonts w:hAnsi="宋体" w:hint="eastAsia"/>
                <w:sz w:val="28"/>
                <w:szCs w:val="28"/>
              </w:rPr>
              <w:t>二维码便</w:t>
            </w:r>
            <w:proofErr w:type="gramEnd"/>
            <w:r>
              <w:rPr>
                <w:rFonts w:hAnsi="宋体" w:hint="eastAsia"/>
                <w:sz w:val="28"/>
                <w:szCs w:val="28"/>
              </w:rPr>
              <w:t>查信息，提供相关资料得5分，无不得分。</w:t>
            </w:r>
          </w:p>
        </w:tc>
      </w:tr>
    </w:tbl>
    <w:p w:rsidR="00ED69B8" w:rsidRDefault="00ED69B8">
      <w:pPr>
        <w:pStyle w:val="a0"/>
        <w:snapToGrid w:val="0"/>
        <w:spacing w:line="360" w:lineRule="auto"/>
        <w:rPr>
          <w:sz w:val="28"/>
          <w:szCs w:val="28"/>
        </w:rPr>
      </w:pPr>
    </w:p>
    <w:p w:rsidR="00ED69B8" w:rsidRDefault="00EA7D7F">
      <w:pPr>
        <w:adjustRightInd w:val="0"/>
        <w:snapToGrid w:val="0"/>
        <w:spacing w:line="360" w:lineRule="auto"/>
        <w:rPr>
          <w:sz w:val="28"/>
          <w:szCs w:val="28"/>
        </w:rPr>
      </w:pPr>
      <w:r>
        <w:rPr>
          <w:rFonts w:hint="eastAsia"/>
          <w:sz w:val="28"/>
          <w:szCs w:val="28"/>
        </w:rPr>
        <w:t>三、确定中标</w:t>
      </w:r>
      <w:bookmarkStart w:id="1" w:name="_Toc520356170"/>
      <w:bookmarkStart w:id="2" w:name="_Toc135539092"/>
      <w:bookmarkStart w:id="3" w:name="_Toc134857298"/>
      <w:bookmarkStart w:id="4" w:name="_Ref467307010"/>
    </w:p>
    <w:p w:rsidR="00ED69B8" w:rsidRDefault="00EA7D7F">
      <w:pPr>
        <w:adjustRightInd w:val="0"/>
        <w:snapToGrid w:val="0"/>
        <w:spacing w:line="360" w:lineRule="auto"/>
        <w:rPr>
          <w:rFonts w:ascii="宋体" w:hAnsi="宋体"/>
          <w:sz w:val="28"/>
          <w:szCs w:val="28"/>
        </w:rPr>
      </w:pPr>
      <w:r>
        <w:rPr>
          <w:rFonts w:hAnsi="宋体" w:hint="eastAsia"/>
          <w:sz w:val="28"/>
          <w:szCs w:val="28"/>
        </w:rPr>
        <w:t>1</w:t>
      </w:r>
      <w:r>
        <w:rPr>
          <w:rFonts w:hAnsi="宋体" w:hint="eastAsia"/>
          <w:sz w:val="28"/>
          <w:szCs w:val="28"/>
        </w:rPr>
        <w:t>、</w:t>
      </w:r>
      <w:bookmarkStart w:id="5" w:name="_Toc134857299"/>
      <w:bookmarkStart w:id="6" w:name="_Toc135539093"/>
      <w:bookmarkEnd w:id="1"/>
      <w:bookmarkEnd w:id="2"/>
      <w:bookmarkEnd w:id="3"/>
      <w:bookmarkEnd w:id="4"/>
      <w:r>
        <w:rPr>
          <w:rFonts w:hAnsi="宋体" w:hint="eastAsia"/>
          <w:sz w:val="28"/>
          <w:szCs w:val="28"/>
        </w:rPr>
        <w:t>确定中标人</w:t>
      </w:r>
      <w:bookmarkEnd w:id="5"/>
      <w:bookmarkEnd w:id="6"/>
      <w:r>
        <w:rPr>
          <w:rFonts w:hAnsi="宋体" w:hint="eastAsia"/>
          <w:sz w:val="28"/>
          <w:szCs w:val="28"/>
        </w:rPr>
        <w:t>：</w:t>
      </w:r>
    </w:p>
    <w:p w:rsidR="00ED69B8" w:rsidRDefault="00EA7D7F">
      <w:pPr>
        <w:adjustRightInd w:val="0"/>
        <w:snapToGrid w:val="0"/>
        <w:spacing w:line="360" w:lineRule="auto"/>
        <w:ind w:left="1" w:hanging="1"/>
        <w:jc w:val="left"/>
        <w:rPr>
          <w:rFonts w:ascii="宋体" w:hAnsi="宋体"/>
          <w:sz w:val="28"/>
          <w:szCs w:val="28"/>
        </w:rPr>
      </w:pPr>
      <w:r>
        <w:rPr>
          <w:rFonts w:ascii="宋体" w:hAnsi="宋体" w:hint="eastAsia"/>
          <w:sz w:val="28"/>
          <w:szCs w:val="28"/>
        </w:rPr>
        <w:t>1.1评标委员会将根据评标标准，推荐综合得分最高的为中标供应商。1.2若最高综合</w:t>
      </w:r>
      <w:r>
        <w:rPr>
          <w:rFonts w:ascii="宋体" w:hAnsi="宋体"/>
          <w:sz w:val="28"/>
          <w:szCs w:val="28"/>
        </w:rPr>
        <w:t>得分</w:t>
      </w:r>
      <w:r>
        <w:rPr>
          <w:rFonts w:ascii="宋体" w:hAnsi="宋体" w:hint="eastAsia"/>
          <w:sz w:val="28"/>
          <w:szCs w:val="28"/>
        </w:rPr>
        <w:t>出现两家或以上情况</w:t>
      </w:r>
      <w:r>
        <w:rPr>
          <w:rFonts w:ascii="宋体" w:hAnsi="宋体"/>
          <w:sz w:val="28"/>
          <w:szCs w:val="28"/>
        </w:rPr>
        <w:t>，从</w:t>
      </w:r>
      <w:r>
        <w:rPr>
          <w:rFonts w:ascii="宋体" w:hAnsi="宋体" w:hint="eastAsia"/>
          <w:sz w:val="28"/>
          <w:szCs w:val="28"/>
        </w:rPr>
        <w:t>综合</w:t>
      </w:r>
      <w:r>
        <w:rPr>
          <w:rFonts w:ascii="宋体" w:hAnsi="宋体"/>
          <w:sz w:val="28"/>
          <w:szCs w:val="28"/>
        </w:rPr>
        <w:t>得分相同的投标人中，按照以下顺序确定中标人资格：</w:t>
      </w:r>
    </w:p>
    <w:p w:rsidR="00ED69B8" w:rsidRDefault="00EA7D7F">
      <w:pPr>
        <w:adjustRightInd w:val="0"/>
        <w:snapToGrid w:val="0"/>
        <w:spacing w:before="120" w:line="360" w:lineRule="auto"/>
        <w:ind w:left="900" w:hanging="900"/>
        <w:rPr>
          <w:rFonts w:ascii="宋体" w:hAnsi="宋体"/>
          <w:sz w:val="28"/>
          <w:szCs w:val="28"/>
        </w:rPr>
      </w:pPr>
      <w:r>
        <w:rPr>
          <w:rFonts w:ascii="宋体" w:hAnsi="宋体" w:hint="eastAsia"/>
          <w:sz w:val="28"/>
          <w:szCs w:val="28"/>
        </w:rPr>
        <w:t>（1）选取价格得分最高的；</w:t>
      </w:r>
    </w:p>
    <w:p w:rsidR="00ED69B8" w:rsidRDefault="00EA7D7F">
      <w:pPr>
        <w:adjustRightInd w:val="0"/>
        <w:snapToGrid w:val="0"/>
        <w:spacing w:before="120" w:line="360" w:lineRule="auto"/>
        <w:ind w:left="900" w:hanging="900"/>
        <w:rPr>
          <w:rFonts w:ascii="宋体" w:hAnsi="宋体"/>
          <w:sz w:val="28"/>
          <w:szCs w:val="28"/>
        </w:rPr>
      </w:pPr>
      <w:r>
        <w:rPr>
          <w:rFonts w:ascii="宋体" w:hAnsi="宋体" w:hint="eastAsia"/>
          <w:sz w:val="28"/>
          <w:szCs w:val="28"/>
        </w:rPr>
        <w:t>（2）选取产品数量供应保障能力得分最高的。</w:t>
      </w:r>
    </w:p>
    <w:p w:rsidR="00ED69B8" w:rsidRDefault="00EA7D7F">
      <w:pPr>
        <w:adjustRightInd w:val="0"/>
        <w:snapToGrid w:val="0"/>
        <w:spacing w:line="360" w:lineRule="auto"/>
        <w:rPr>
          <w:sz w:val="28"/>
          <w:szCs w:val="28"/>
        </w:rPr>
      </w:pPr>
      <w:r>
        <w:rPr>
          <w:rFonts w:hint="eastAsia"/>
          <w:sz w:val="28"/>
          <w:szCs w:val="28"/>
        </w:rPr>
        <w:t>2</w:t>
      </w:r>
      <w:r>
        <w:rPr>
          <w:rFonts w:hint="eastAsia"/>
          <w:sz w:val="28"/>
          <w:szCs w:val="28"/>
        </w:rPr>
        <w:t>、</w:t>
      </w:r>
      <w:r>
        <w:rPr>
          <w:rFonts w:hAnsi="宋体" w:hint="eastAsia"/>
          <w:sz w:val="28"/>
          <w:szCs w:val="28"/>
        </w:rPr>
        <w:t>接受和拒绝</w:t>
      </w:r>
      <w:proofErr w:type="gramStart"/>
      <w:r>
        <w:rPr>
          <w:rFonts w:hAnsi="宋体" w:hint="eastAsia"/>
          <w:sz w:val="28"/>
          <w:szCs w:val="28"/>
        </w:rPr>
        <w:t>任何或</w:t>
      </w:r>
      <w:proofErr w:type="gramEnd"/>
      <w:r>
        <w:rPr>
          <w:rFonts w:hAnsi="宋体" w:hint="eastAsia"/>
          <w:sz w:val="28"/>
          <w:szCs w:val="28"/>
        </w:rPr>
        <w:t>所有投标的权利：</w:t>
      </w:r>
    </w:p>
    <w:p w:rsidR="00ED69B8" w:rsidRDefault="00EA7D7F">
      <w:pPr>
        <w:adjustRightInd w:val="0"/>
        <w:snapToGrid w:val="0"/>
        <w:spacing w:before="120" w:line="360" w:lineRule="auto"/>
        <w:rPr>
          <w:rFonts w:ascii="宋体" w:hAnsi="宋体"/>
          <w:sz w:val="28"/>
          <w:szCs w:val="28"/>
        </w:rPr>
      </w:pPr>
      <w:r>
        <w:rPr>
          <w:rFonts w:ascii="宋体" w:hAnsi="宋体" w:hint="eastAsia"/>
          <w:sz w:val="28"/>
          <w:szCs w:val="28"/>
        </w:rPr>
        <w:t>2.1为维护国家和社会公共利益，采购人保留在授标之前任何时候接受或拒绝任何投标人中标的权利，且对受影响的投标人不承担任何责任。</w:t>
      </w:r>
    </w:p>
    <w:p w:rsidR="00ED69B8" w:rsidRDefault="00EA7D7F">
      <w:pPr>
        <w:pStyle w:val="a5"/>
        <w:adjustRightInd w:val="0"/>
        <w:snapToGrid w:val="0"/>
        <w:spacing w:before="156" w:line="360" w:lineRule="auto"/>
        <w:rPr>
          <w:rFonts w:hAnsi="宋体"/>
          <w:sz w:val="28"/>
          <w:szCs w:val="28"/>
        </w:rPr>
      </w:pPr>
      <w:bookmarkStart w:id="7" w:name="_Toc134857301"/>
      <w:bookmarkStart w:id="8" w:name="_Toc135536492"/>
      <w:bookmarkStart w:id="9" w:name="_Toc520356174"/>
      <w:r>
        <w:rPr>
          <w:rFonts w:hAnsi="宋体" w:hint="eastAsia"/>
          <w:sz w:val="28"/>
          <w:szCs w:val="28"/>
        </w:rPr>
        <w:t>2.2因不可抗力或中标供应商不能履约等情形，采购人保留与其他候选供应商签订合同的权利。</w:t>
      </w:r>
      <w:bookmarkEnd w:id="7"/>
      <w:bookmarkEnd w:id="8"/>
    </w:p>
    <w:p w:rsidR="00ED69B8" w:rsidRDefault="00EA7D7F">
      <w:pPr>
        <w:pStyle w:val="a5"/>
        <w:adjustRightInd w:val="0"/>
        <w:snapToGrid w:val="0"/>
        <w:spacing w:before="156" w:line="360" w:lineRule="auto"/>
        <w:ind w:leftChars="1" w:left="1052" w:hangingChars="375" w:hanging="1050"/>
        <w:rPr>
          <w:rFonts w:hAnsi="宋体"/>
          <w:sz w:val="28"/>
          <w:szCs w:val="28"/>
        </w:rPr>
      </w:pPr>
      <w:r>
        <w:rPr>
          <w:rFonts w:hAnsi="宋体" w:hint="eastAsia"/>
          <w:sz w:val="28"/>
          <w:szCs w:val="28"/>
        </w:rPr>
        <w:t>四、</w:t>
      </w:r>
      <w:bookmarkEnd w:id="9"/>
      <w:r>
        <w:rPr>
          <w:rFonts w:hAnsi="宋体" w:hint="eastAsia"/>
          <w:b/>
          <w:sz w:val="24"/>
          <w:szCs w:val="24"/>
        </w:rPr>
        <w:t>合同一般条款</w:t>
      </w:r>
    </w:p>
    <w:p w:rsidR="00ED69B8" w:rsidRDefault="00EA7D7F">
      <w:pPr>
        <w:adjustRightInd w:val="0"/>
        <w:snapToGrid w:val="0"/>
        <w:spacing w:line="360" w:lineRule="auto"/>
        <w:ind w:left="960" w:hanging="960"/>
        <w:rPr>
          <w:rFonts w:ascii="宋体" w:hAnsi="宋体"/>
          <w:sz w:val="28"/>
          <w:szCs w:val="28"/>
        </w:rPr>
      </w:pPr>
      <w:bookmarkStart w:id="10" w:name="_Toc487900350"/>
      <w:r>
        <w:rPr>
          <w:rFonts w:ascii="宋体" w:hAnsi="宋体" w:hint="eastAsia"/>
          <w:sz w:val="28"/>
          <w:szCs w:val="28"/>
        </w:rPr>
        <w:t>1、技术规范</w:t>
      </w:r>
      <w:bookmarkEnd w:id="10"/>
    </w:p>
    <w:p w:rsidR="00ED69B8" w:rsidRDefault="00EA7D7F" w:rsidP="00EA7D7F">
      <w:pPr>
        <w:pStyle w:val="20"/>
        <w:adjustRightInd w:val="0"/>
        <w:snapToGrid w:val="0"/>
        <w:spacing w:line="360" w:lineRule="auto"/>
        <w:ind w:leftChars="0" w:left="0" w:firstLineChars="152" w:firstLine="426"/>
        <w:rPr>
          <w:rFonts w:ascii="宋体" w:hAnsi="宋体"/>
          <w:sz w:val="28"/>
          <w:szCs w:val="28"/>
        </w:rPr>
      </w:pPr>
      <w:r>
        <w:rPr>
          <w:rFonts w:ascii="宋体" w:hAnsi="宋体" w:hint="eastAsia"/>
          <w:sz w:val="28"/>
          <w:szCs w:val="28"/>
        </w:rPr>
        <w:t>提交货物的技术规范应与需方规定的技术规范和附件及其投标文件的技术规范偏差表相一致。若技术规范中无相应说明，则以国家有关部门最新颁布的相应标准及规范为准。</w:t>
      </w:r>
      <w:bookmarkStart w:id="11" w:name="_Toc487900351"/>
    </w:p>
    <w:p w:rsidR="00ED69B8" w:rsidRDefault="00EA7D7F">
      <w:pPr>
        <w:adjustRightInd w:val="0"/>
        <w:snapToGrid w:val="0"/>
        <w:spacing w:line="360" w:lineRule="auto"/>
        <w:ind w:left="720" w:hanging="720"/>
        <w:rPr>
          <w:rFonts w:ascii="宋体" w:hAnsi="宋体"/>
          <w:sz w:val="28"/>
          <w:szCs w:val="28"/>
        </w:rPr>
      </w:pPr>
      <w:bookmarkStart w:id="12" w:name="_Toc487900352"/>
      <w:bookmarkEnd w:id="11"/>
      <w:r>
        <w:rPr>
          <w:rFonts w:ascii="宋体" w:hAnsi="宋体" w:hint="eastAsia"/>
          <w:sz w:val="28"/>
          <w:szCs w:val="28"/>
        </w:rPr>
        <w:t>2、包装要求</w:t>
      </w:r>
      <w:bookmarkEnd w:id="12"/>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2.1 除合同另有规定外，供方提供的全部货物，均应采用本行业通用的方式进行包装，且该包装应符合国家有关包装的法律、法规的规定，由</w:t>
      </w:r>
      <w:r>
        <w:rPr>
          <w:rFonts w:ascii="宋体" w:hAnsi="宋体" w:hint="eastAsia"/>
          <w:sz w:val="28"/>
          <w:szCs w:val="28"/>
        </w:rPr>
        <w:lastRenderedPageBreak/>
        <w:t>于包装不善所引起的货物锈蚀、损坏和损失均由供方承担。</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2.2 每件包装箱内应附一份详细装箱单和质量合格证。</w:t>
      </w:r>
      <w:bookmarkStart w:id="13" w:name="_Toc487900353"/>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3、</w:t>
      </w:r>
      <w:bookmarkEnd w:id="13"/>
      <w:r>
        <w:rPr>
          <w:rFonts w:ascii="宋体" w:hAnsi="宋体" w:hint="eastAsia"/>
          <w:sz w:val="28"/>
          <w:szCs w:val="28"/>
        </w:rPr>
        <w:t>药品配送</w:t>
      </w:r>
    </w:p>
    <w:p w:rsidR="00ED69B8" w:rsidRDefault="00EA7D7F">
      <w:pPr>
        <w:pStyle w:val="20"/>
        <w:adjustRightInd w:val="0"/>
        <w:snapToGrid w:val="0"/>
        <w:spacing w:line="360" w:lineRule="auto"/>
        <w:ind w:leftChars="0" w:left="0" w:firstLineChars="150" w:firstLine="420"/>
        <w:rPr>
          <w:rFonts w:ascii="宋体" w:hAnsi="宋体"/>
          <w:sz w:val="28"/>
          <w:szCs w:val="28"/>
        </w:rPr>
      </w:pPr>
      <w:r>
        <w:rPr>
          <w:rFonts w:ascii="宋体" w:hAnsi="宋体" w:hint="eastAsia"/>
          <w:sz w:val="28"/>
          <w:szCs w:val="28"/>
        </w:rPr>
        <w:t>常规药品2天内到达；加急药品24小时内到达，药品送到医院指定位置，货到后验收。每次供货时，均提供每一品种的该批次质量检验报告书、送货同行单等。</w:t>
      </w:r>
    </w:p>
    <w:p w:rsidR="00ED69B8" w:rsidRDefault="00EA7D7F" w:rsidP="00EA7D7F">
      <w:pPr>
        <w:pStyle w:val="20"/>
        <w:adjustRightInd w:val="0"/>
        <w:snapToGrid w:val="0"/>
        <w:spacing w:line="360" w:lineRule="auto"/>
        <w:ind w:leftChars="0" w:left="0" w:firstLineChars="152" w:firstLine="426"/>
        <w:rPr>
          <w:rFonts w:ascii="宋体" w:hAnsi="宋体"/>
          <w:sz w:val="28"/>
          <w:szCs w:val="28"/>
        </w:rPr>
      </w:pPr>
      <w:r>
        <w:rPr>
          <w:rFonts w:ascii="宋体" w:hAnsi="宋体" w:hint="eastAsia"/>
          <w:sz w:val="28"/>
          <w:szCs w:val="28"/>
        </w:rPr>
        <w:t>中标人负责将货物送到采购人指定供货地点全过程的贮存和运输，提供药品开箱或分装的用具，并承担相关费用。</w:t>
      </w:r>
    </w:p>
    <w:p w:rsidR="00ED69B8" w:rsidRDefault="00EA7D7F">
      <w:pPr>
        <w:adjustRightInd w:val="0"/>
        <w:snapToGrid w:val="0"/>
        <w:spacing w:line="360" w:lineRule="auto"/>
        <w:ind w:left="960" w:hanging="960"/>
        <w:rPr>
          <w:rFonts w:ascii="宋体" w:hAnsi="宋体"/>
          <w:sz w:val="28"/>
          <w:szCs w:val="28"/>
        </w:rPr>
      </w:pPr>
      <w:bookmarkStart w:id="14" w:name="_Ref467377798"/>
      <w:bookmarkStart w:id="15" w:name="_Ref467379946"/>
      <w:bookmarkStart w:id="16" w:name="_Toc487900359"/>
      <w:bookmarkStart w:id="17" w:name="_Ref467379937"/>
      <w:bookmarkStart w:id="18" w:name="_Ref467377962"/>
      <w:r>
        <w:rPr>
          <w:rFonts w:ascii="宋体" w:hAnsi="宋体" w:hint="eastAsia"/>
          <w:sz w:val="28"/>
          <w:szCs w:val="28"/>
        </w:rPr>
        <w:t>4、</w:t>
      </w:r>
      <w:bookmarkEnd w:id="14"/>
      <w:bookmarkEnd w:id="15"/>
      <w:bookmarkEnd w:id="16"/>
      <w:bookmarkEnd w:id="17"/>
      <w:bookmarkEnd w:id="18"/>
      <w:r>
        <w:rPr>
          <w:rFonts w:ascii="宋体" w:hAnsi="宋体" w:hint="eastAsia"/>
          <w:sz w:val="28"/>
          <w:szCs w:val="28"/>
        </w:rPr>
        <w:t>质量要求</w:t>
      </w:r>
      <w:bookmarkStart w:id="19" w:name="_Ref467378018"/>
      <w:bookmarkStart w:id="20" w:name="_Toc487900360"/>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4.1、提供的药品符合现行版《中华人民共和国药典》、《关于结束中药配方颗粒试点工作的公告》、《北京市中药配方颗粒管理实施细则（试行）》等相关文件规定。</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4.2、制定有严格的内控药品质量标准（包括原料、各单元工艺环节物料、中药配方颗粒成品检验标准及过程控制指标），明确生产过程质量控制的措施、关键质量控制点及相关质量要求，使作为初始原料的中药材、作为提取原料的饮片、作为制剂用原料的中间体和作为</w:t>
      </w:r>
      <w:proofErr w:type="gramStart"/>
      <w:r>
        <w:rPr>
          <w:rFonts w:ascii="宋体" w:hAnsi="宋体" w:hint="eastAsia"/>
          <w:sz w:val="28"/>
          <w:szCs w:val="28"/>
        </w:rPr>
        <w:t>终产品</w:t>
      </w:r>
      <w:proofErr w:type="gramEnd"/>
      <w:r>
        <w:rPr>
          <w:rFonts w:ascii="宋体" w:hAnsi="宋体" w:hint="eastAsia"/>
          <w:sz w:val="28"/>
          <w:szCs w:val="28"/>
        </w:rPr>
        <w:t>的成品符合相关部门规定标准，保证中药配方颗粒的质量。</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4.3、所供中药配方颗粒到货入库的有效期不少于2年。</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4.4、所提供药品的包装、标签等均符合国家有关规定。</w:t>
      </w:r>
    </w:p>
    <w:p w:rsidR="00ED69B8" w:rsidRDefault="00EA7D7F">
      <w:pPr>
        <w:tabs>
          <w:tab w:val="left" w:pos="240"/>
        </w:tabs>
        <w:adjustRightInd w:val="0"/>
        <w:snapToGrid w:val="0"/>
        <w:spacing w:line="360" w:lineRule="auto"/>
        <w:rPr>
          <w:rFonts w:ascii="宋体" w:hAnsi="宋体"/>
          <w:sz w:val="28"/>
          <w:szCs w:val="28"/>
        </w:rPr>
      </w:pPr>
      <w:r>
        <w:rPr>
          <w:rFonts w:ascii="宋体" w:hAnsi="宋体" w:hint="eastAsia"/>
          <w:sz w:val="28"/>
          <w:szCs w:val="28"/>
        </w:rPr>
        <w:t>4.5、所提供药品，在有效期内对药品质量负责。</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4.6、向贵院提供中药配方颗粒的技术文件。</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4.7、医院有权随时对中药配方颗粒的生产过程进行抽查检验，或者派出专人监督。</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4.8、与医院签订“质量保证协议书”。</w:t>
      </w:r>
    </w:p>
    <w:p w:rsidR="00ED69B8" w:rsidRDefault="00EA7D7F">
      <w:pPr>
        <w:adjustRightInd w:val="0"/>
        <w:snapToGrid w:val="0"/>
        <w:spacing w:line="360" w:lineRule="auto"/>
        <w:rPr>
          <w:rFonts w:ascii="宋体" w:hAnsi="宋体"/>
          <w:bCs/>
          <w:sz w:val="28"/>
          <w:szCs w:val="28"/>
        </w:rPr>
      </w:pPr>
      <w:r>
        <w:rPr>
          <w:rFonts w:ascii="宋体" w:hAnsi="宋体" w:hint="eastAsia"/>
          <w:bCs/>
          <w:sz w:val="28"/>
          <w:szCs w:val="28"/>
        </w:rPr>
        <w:lastRenderedPageBreak/>
        <w:t>5、服务要求</w:t>
      </w:r>
    </w:p>
    <w:p w:rsidR="00ED69B8" w:rsidRDefault="00EA7D7F">
      <w:pPr>
        <w:adjustRightInd w:val="0"/>
        <w:snapToGrid w:val="0"/>
        <w:spacing w:line="360" w:lineRule="auto"/>
        <w:rPr>
          <w:rFonts w:ascii="宋体" w:hAnsi="宋体"/>
          <w:bCs/>
          <w:sz w:val="28"/>
          <w:szCs w:val="28"/>
        </w:rPr>
      </w:pPr>
      <w:r>
        <w:rPr>
          <w:rFonts w:ascii="宋体" w:hAnsi="宋体" w:hint="eastAsia"/>
          <w:bCs/>
          <w:sz w:val="28"/>
          <w:szCs w:val="28"/>
        </w:rPr>
        <w:t>5.1、有质量问题、近效期的产品免费退换货。</w:t>
      </w:r>
    </w:p>
    <w:p w:rsidR="00ED69B8" w:rsidRDefault="00EA7D7F">
      <w:pPr>
        <w:adjustRightInd w:val="0"/>
        <w:snapToGrid w:val="0"/>
        <w:spacing w:line="360" w:lineRule="auto"/>
        <w:rPr>
          <w:rFonts w:ascii="宋体" w:hAnsi="宋体"/>
          <w:bCs/>
          <w:sz w:val="28"/>
          <w:szCs w:val="28"/>
        </w:rPr>
      </w:pPr>
      <w:r>
        <w:rPr>
          <w:rFonts w:ascii="宋体" w:hAnsi="宋体" w:hint="eastAsia"/>
          <w:bCs/>
          <w:sz w:val="28"/>
          <w:szCs w:val="28"/>
        </w:rPr>
        <w:t>5.2、有定期随访制度。</w:t>
      </w:r>
    </w:p>
    <w:p w:rsidR="00ED69B8" w:rsidRDefault="00EA7D7F">
      <w:pPr>
        <w:adjustRightInd w:val="0"/>
        <w:snapToGrid w:val="0"/>
        <w:spacing w:line="360" w:lineRule="auto"/>
        <w:rPr>
          <w:rFonts w:ascii="宋体" w:hAnsi="宋体"/>
          <w:bCs/>
          <w:sz w:val="28"/>
          <w:szCs w:val="28"/>
        </w:rPr>
      </w:pPr>
      <w:r>
        <w:rPr>
          <w:rFonts w:ascii="宋体" w:hAnsi="宋体" w:hint="eastAsia"/>
          <w:bCs/>
          <w:sz w:val="28"/>
          <w:szCs w:val="28"/>
        </w:rPr>
        <w:t>5.3、投标人需提供自动化调剂、包装设备（材料）及配套设施，免费提供专业设备保养及检修，定期进行设备检修、维护、零配件更换。</w:t>
      </w:r>
    </w:p>
    <w:p w:rsidR="00ED69B8" w:rsidRDefault="00EA7D7F">
      <w:pPr>
        <w:adjustRightInd w:val="0"/>
        <w:snapToGrid w:val="0"/>
        <w:spacing w:line="360" w:lineRule="auto"/>
        <w:rPr>
          <w:rFonts w:ascii="宋体" w:hAnsi="宋体"/>
          <w:bCs/>
          <w:sz w:val="28"/>
          <w:szCs w:val="28"/>
        </w:rPr>
      </w:pPr>
      <w:r>
        <w:rPr>
          <w:rFonts w:ascii="宋体" w:hAnsi="宋体" w:hint="eastAsia"/>
          <w:bCs/>
          <w:sz w:val="28"/>
          <w:szCs w:val="28"/>
        </w:rPr>
        <w:t>5.4、提供产品培训服务。</w:t>
      </w:r>
    </w:p>
    <w:p w:rsidR="00ED69B8" w:rsidRDefault="00EA7D7F">
      <w:pPr>
        <w:adjustRightInd w:val="0"/>
        <w:snapToGrid w:val="0"/>
        <w:spacing w:line="360" w:lineRule="auto"/>
        <w:rPr>
          <w:rFonts w:ascii="宋体" w:hAnsi="宋体"/>
          <w:sz w:val="28"/>
          <w:szCs w:val="28"/>
        </w:rPr>
      </w:pPr>
      <w:r>
        <w:rPr>
          <w:rFonts w:ascii="宋体" w:hAnsi="宋体" w:hint="eastAsia"/>
          <w:bCs/>
          <w:sz w:val="28"/>
          <w:szCs w:val="28"/>
        </w:rPr>
        <w:t>5.5、投标人认为需要提供的各项配套服务。</w:t>
      </w:r>
    </w:p>
    <w:p w:rsidR="00ED69B8" w:rsidRDefault="00EA7D7F">
      <w:pPr>
        <w:adjustRightInd w:val="0"/>
        <w:snapToGrid w:val="0"/>
        <w:spacing w:line="360" w:lineRule="auto"/>
        <w:rPr>
          <w:rFonts w:ascii="宋体" w:hAnsi="宋体"/>
          <w:sz w:val="28"/>
          <w:szCs w:val="28"/>
        </w:rPr>
      </w:pPr>
      <w:r>
        <w:rPr>
          <w:rFonts w:ascii="宋体" w:hAnsi="宋体" w:hint="eastAsia"/>
          <w:sz w:val="28"/>
          <w:szCs w:val="28"/>
        </w:rPr>
        <w:t>6、检验</w:t>
      </w:r>
      <w:bookmarkEnd w:id="19"/>
      <w:bookmarkEnd w:id="20"/>
      <w:r>
        <w:rPr>
          <w:rFonts w:ascii="宋体" w:hAnsi="宋体" w:hint="eastAsia"/>
          <w:sz w:val="28"/>
          <w:szCs w:val="28"/>
        </w:rPr>
        <w:t>和验收</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6.1 在交货前出具证明货物符合合同规定的证明文件。</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6.2 如果货物的质量和规格与合同不符或在规定的质量保证期内，</w:t>
      </w:r>
      <w:r>
        <w:rPr>
          <w:rFonts w:ascii="宋体" w:hAnsi="宋体" w:hint="eastAsia"/>
          <w:bCs/>
          <w:sz w:val="28"/>
          <w:szCs w:val="28"/>
        </w:rPr>
        <w:t>证实货物是有缺陷的，包括潜在的缺陷或使用不符合要求的材料，需方</w:t>
      </w:r>
      <w:r>
        <w:rPr>
          <w:rFonts w:ascii="宋体" w:hAnsi="宋体" w:hint="eastAsia"/>
          <w:sz w:val="28"/>
          <w:szCs w:val="28"/>
        </w:rPr>
        <w:t>将有权向供方提出索赔。</w:t>
      </w:r>
    </w:p>
    <w:p w:rsidR="00ED69B8" w:rsidRDefault="00EA7D7F">
      <w:pPr>
        <w:adjustRightInd w:val="0"/>
        <w:snapToGrid w:val="0"/>
        <w:spacing w:line="360" w:lineRule="auto"/>
        <w:ind w:left="960" w:hanging="960"/>
        <w:rPr>
          <w:rFonts w:ascii="宋体" w:hAnsi="宋体"/>
          <w:sz w:val="28"/>
          <w:szCs w:val="28"/>
        </w:rPr>
      </w:pPr>
      <w:bookmarkStart w:id="21" w:name="_Toc487900361"/>
      <w:r>
        <w:rPr>
          <w:rFonts w:ascii="宋体" w:hAnsi="宋体" w:hint="eastAsia"/>
          <w:sz w:val="28"/>
          <w:szCs w:val="28"/>
        </w:rPr>
        <w:t>7、索赔</w:t>
      </w:r>
      <w:bookmarkEnd w:id="21"/>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7.1 如果货物的质量、规格、数量、重量等与合同不符，或在质量保证期内证实货物存有缺陷，包括潜在的缺陷或使用不符合要求的材料等，需方有权根据按检验标准自己检验的结果或有资质的权威质检机构的检验结果向供方提出索赔。</w:t>
      </w:r>
    </w:p>
    <w:p w:rsidR="00ED69B8" w:rsidRDefault="00EA7D7F">
      <w:pPr>
        <w:pStyle w:val="20"/>
        <w:adjustRightInd w:val="0"/>
        <w:snapToGrid w:val="0"/>
        <w:spacing w:line="360" w:lineRule="auto"/>
        <w:ind w:leftChars="0" w:left="0"/>
        <w:rPr>
          <w:rFonts w:ascii="宋体" w:hAnsi="宋体"/>
          <w:sz w:val="28"/>
          <w:szCs w:val="28"/>
        </w:rPr>
      </w:pPr>
      <w:bookmarkStart w:id="22" w:name="_Ref467378076"/>
      <w:r>
        <w:rPr>
          <w:rFonts w:ascii="宋体" w:hAnsi="宋体" w:hint="eastAsia"/>
          <w:sz w:val="28"/>
          <w:szCs w:val="28"/>
        </w:rPr>
        <w:t>7.2  在合同规定的检验期和质量保证期内，如果供方对需方提出的索赔负有责任，供方应按照需方同意的下列一种或多种方式解决索赔事宜：</w:t>
      </w:r>
      <w:bookmarkEnd w:id="22"/>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7.2.1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lastRenderedPageBreak/>
        <w:t>7.2.2 根据货物低劣程度、损坏程度以及需方所遭受损失的数额，</w:t>
      </w:r>
      <w:proofErr w:type="gramStart"/>
      <w:r>
        <w:rPr>
          <w:rFonts w:ascii="宋体" w:hAnsi="宋体" w:hint="eastAsia"/>
          <w:sz w:val="28"/>
          <w:szCs w:val="28"/>
        </w:rPr>
        <w:t>经需供</w:t>
      </w:r>
      <w:proofErr w:type="gramEnd"/>
      <w:r>
        <w:rPr>
          <w:rFonts w:ascii="宋体" w:hAnsi="宋体" w:hint="eastAsia"/>
          <w:sz w:val="28"/>
          <w:szCs w:val="28"/>
        </w:rPr>
        <w:t>双方商定降低货物的价格或由有权的部门评估，以降低后的价格或评估价格为准。</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7.2.3 用符合规格、质量和性能要求的新零件、部件或货物来更换有缺陷的部分或修补缺陷部分，供方应承</w:t>
      </w:r>
      <w:proofErr w:type="gramStart"/>
      <w:r>
        <w:rPr>
          <w:rFonts w:ascii="宋体" w:hAnsi="宋体" w:hint="eastAsia"/>
          <w:sz w:val="28"/>
          <w:szCs w:val="28"/>
        </w:rPr>
        <w:t>担一切</w:t>
      </w:r>
      <w:proofErr w:type="gramEnd"/>
      <w:r>
        <w:rPr>
          <w:rFonts w:ascii="宋体" w:hAnsi="宋体" w:hint="eastAsia"/>
          <w:sz w:val="28"/>
          <w:szCs w:val="28"/>
        </w:rPr>
        <w:t>费用和风险并负担需方所发生的一切直接费用。同时相应延长修补或更换件的质量保证期。</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7.3  如果在需方发出索赔通知后2天内，供方未作答复，上述索赔应视为已被供方接受。如供方未能在需方提出索赔通知后2天内或需方同意的更长时间内，按照本合同规定的任何一种方法解决索赔事宜，需方将从合同款或从供方开具的履约保证金保函中扣回索赔金额。如果这些金额不足以补偿索赔金额，需方有权向供方提出不足部分的补偿。</w:t>
      </w:r>
      <w:bookmarkStart w:id="23" w:name="_Toc487900362"/>
    </w:p>
    <w:p w:rsidR="00ED69B8" w:rsidRDefault="00EA7D7F">
      <w:pPr>
        <w:adjustRightInd w:val="0"/>
        <w:snapToGrid w:val="0"/>
        <w:spacing w:line="360" w:lineRule="auto"/>
        <w:ind w:left="960" w:hanging="960"/>
        <w:rPr>
          <w:rFonts w:ascii="宋体" w:hAnsi="宋体"/>
          <w:sz w:val="28"/>
          <w:szCs w:val="28"/>
        </w:rPr>
      </w:pPr>
      <w:bookmarkStart w:id="24" w:name="_Toc487900363"/>
      <w:bookmarkEnd w:id="23"/>
      <w:r>
        <w:rPr>
          <w:rFonts w:ascii="宋体" w:hAnsi="宋体" w:hint="eastAsia"/>
          <w:sz w:val="28"/>
          <w:szCs w:val="28"/>
        </w:rPr>
        <w:t>8、违约赔偿</w:t>
      </w:r>
      <w:bookmarkEnd w:id="24"/>
    </w:p>
    <w:p w:rsidR="00ED69B8" w:rsidRDefault="00EA7D7F" w:rsidP="00EA7D7F">
      <w:pPr>
        <w:pStyle w:val="20"/>
        <w:adjustRightInd w:val="0"/>
        <w:snapToGrid w:val="0"/>
        <w:spacing w:line="360" w:lineRule="auto"/>
        <w:ind w:leftChars="0" w:left="0" w:firstLineChars="152" w:firstLine="426"/>
        <w:rPr>
          <w:rFonts w:ascii="宋体" w:hAnsi="宋体"/>
          <w:sz w:val="28"/>
          <w:szCs w:val="28"/>
        </w:rPr>
      </w:pPr>
      <w:r>
        <w:rPr>
          <w:rFonts w:ascii="宋体" w:hAnsi="宋体" w:hint="eastAsia"/>
          <w:sz w:val="28"/>
          <w:szCs w:val="28"/>
        </w:rPr>
        <w:t>如果供方没有按照合同规定的时间交货和提供服务，需方可要求供方支付违约金。违约金按</w:t>
      </w:r>
      <w:proofErr w:type="gramStart"/>
      <w:r>
        <w:rPr>
          <w:rFonts w:ascii="宋体" w:hAnsi="宋体" w:hint="eastAsia"/>
          <w:sz w:val="28"/>
          <w:szCs w:val="28"/>
        </w:rPr>
        <w:t>每周迟交货</w:t>
      </w:r>
      <w:proofErr w:type="gramEnd"/>
      <w:r>
        <w:rPr>
          <w:rFonts w:ascii="宋体" w:hAnsi="宋体" w:hint="eastAsia"/>
          <w:sz w:val="28"/>
          <w:szCs w:val="28"/>
        </w:rPr>
        <w:t>物或未提供服务交货价的0.5%计收。</w:t>
      </w:r>
      <w:bookmarkStart w:id="25" w:name="_Ref467378121"/>
      <w:bookmarkStart w:id="26" w:name="_Toc487900364"/>
    </w:p>
    <w:p w:rsidR="00ED69B8" w:rsidRDefault="00EA7D7F">
      <w:pPr>
        <w:adjustRightInd w:val="0"/>
        <w:snapToGrid w:val="0"/>
        <w:spacing w:line="360" w:lineRule="auto"/>
        <w:rPr>
          <w:rFonts w:ascii="宋体" w:hAnsi="宋体"/>
          <w:sz w:val="28"/>
          <w:szCs w:val="28"/>
        </w:rPr>
      </w:pPr>
      <w:bookmarkStart w:id="27" w:name="_Toc487900366"/>
      <w:bookmarkEnd w:id="25"/>
      <w:bookmarkEnd w:id="26"/>
      <w:r>
        <w:rPr>
          <w:rFonts w:ascii="宋体" w:hAnsi="宋体" w:hint="eastAsia"/>
          <w:sz w:val="28"/>
          <w:szCs w:val="28"/>
        </w:rPr>
        <w:t>9、</w:t>
      </w:r>
      <w:bookmarkEnd w:id="27"/>
      <w:r>
        <w:rPr>
          <w:rFonts w:ascii="宋体" w:hAnsi="宋体" w:hint="eastAsia"/>
          <w:sz w:val="28"/>
          <w:szCs w:val="28"/>
        </w:rPr>
        <w:t>合同争议的解决</w:t>
      </w:r>
    </w:p>
    <w:p w:rsidR="00ED69B8" w:rsidRDefault="00EA7D7F" w:rsidP="00EA7D7F">
      <w:pPr>
        <w:pStyle w:val="20"/>
        <w:adjustRightInd w:val="0"/>
        <w:snapToGrid w:val="0"/>
        <w:spacing w:line="360" w:lineRule="auto"/>
        <w:ind w:leftChars="0" w:left="0" w:firstLineChars="152" w:firstLine="426"/>
        <w:rPr>
          <w:rFonts w:ascii="宋体" w:hAnsi="宋体"/>
          <w:sz w:val="28"/>
          <w:szCs w:val="28"/>
        </w:rPr>
      </w:pPr>
      <w:r>
        <w:rPr>
          <w:rFonts w:ascii="宋体" w:hAnsi="宋体" w:hint="eastAsia"/>
          <w:sz w:val="28"/>
          <w:szCs w:val="28"/>
        </w:rPr>
        <w:t>因合同履行中发生的争议，合同当事人双方可通过协商解决。协商不成的，可提请北京市</w:t>
      </w:r>
      <w:proofErr w:type="gramStart"/>
      <w:r>
        <w:rPr>
          <w:rFonts w:ascii="宋体" w:hAnsi="宋体" w:hint="eastAsia"/>
          <w:sz w:val="28"/>
          <w:szCs w:val="28"/>
        </w:rPr>
        <w:t>平谷区</w:t>
      </w:r>
      <w:proofErr w:type="gramEnd"/>
      <w:r>
        <w:rPr>
          <w:rFonts w:ascii="宋体" w:hAnsi="宋体" w:hint="eastAsia"/>
          <w:sz w:val="28"/>
          <w:szCs w:val="28"/>
        </w:rPr>
        <w:t>仲裁委员会仲裁或向</w:t>
      </w:r>
      <w:proofErr w:type="gramStart"/>
      <w:r>
        <w:rPr>
          <w:rFonts w:ascii="宋体" w:hAnsi="宋体" w:hint="eastAsia"/>
          <w:sz w:val="28"/>
          <w:szCs w:val="28"/>
        </w:rPr>
        <w:t>平谷区</w:t>
      </w:r>
      <w:proofErr w:type="gramEnd"/>
      <w:r>
        <w:rPr>
          <w:rFonts w:ascii="宋体" w:hAnsi="宋体" w:hint="eastAsia"/>
          <w:sz w:val="28"/>
          <w:szCs w:val="28"/>
        </w:rPr>
        <w:t>人民法院提起诉讼。</w:t>
      </w:r>
    </w:p>
    <w:p w:rsidR="00ED69B8" w:rsidRDefault="00EA7D7F">
      <w:pPr>
        <w:tabs>
          <w:tab w:val="left" w:pos="900"/>
        </w:tabs>
        <w:adjustRightInd w:val="0"/>
        <w:snapToGrid w:val="0"/>
        <w:spacing w:line="360" w:lineRule="auto"/>
        <w:rPr>
          <w:rFonts w:ascii="宋体" w:hAnsi="宋体"/>
          <w:sz w:val="28"/>
          <w:szCs w:val="28"/>
        </w:rPr>
      </w:pPr>
      <w:bookmarkStart w:id="28" w:name="_Toc487900367"/>
      <w:r>
        <w:rPr>
          <w:rFonts w:ascii="宋体" w:hAnsi="宋体" w:hint="eastAsia"/>
          <w:sz w:val="28"/>
          <w:szCs w:val="28"/>
        </w:rPr>
        <w:t>10、违约解除合同</w:t>
      </w:r>
      <w:bookmarkEnd w:id="28"/>
    </w:p>
    <w:p w:rsidR="00ED69B8" w:rsidRDefault="00EA7D7F">
      <w:pPr>
        <w:pStyle w:val="20"/>
        <w:adjustRightInd w:val="0"/>
        <w:snapToGrid w:val="0"/>
        <w:spacing w:line="360" w:lineRule="auto"/>
        <w:ind w:leftChars="0" w:left="0"/>
        <w:rPr>
          <w:rFonts w:ascii="宋体" w:hAnsi="宋体"/>
          <w:sz w:val="28"/>
          <w:szCs w:val="28"/>
        </w:rPr>
      </w:pPr>
      <w:bookmarkStart w:id="29" w:name="_Ref467378234"/>
      <w:r>
        <w:rPr>
          <w:rFonts w:ascii="宋体" w:hAnsi="宋体" w:hint="eastAsia"/>
          <w:sz w:val="28"/>
          <w:szCs w:val="28"/>
        </w:rPr>
        <w:t>10.1 在供方违约的情况下，需方可向供方发出书面通知，部分或全部终止合同。同时保留向供方追诉的权利。</w:t>
      </w:r>
      <w:bookmarkEnd w:id="29"/>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 xml:space="preserve">10.1.1供方未能在合同规定的限期或需方同意延长的限期内，提供全部或部分货物,按合同规定可以解除合同的； </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10.1.2 供方未能履行合同规定的其它主要义务的；</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lastRenderedPageBreak/>
        <w:t>10.1.3 在本合同履行过程中有腐败和欺诈行为的。</w:t>
      </w:r>
    </w:p>
    <w:p w:rsidR="00ED69B8" w:rsidRDefault="00EA7D7F">
      <w:pPr>
        <w:pStyle w:val="20"/>
        <w:adjustRightInd w:val="0"/>
        <w:snapToGrid w:val="0"/>
        <w:spacing w:line="360" w:lineRule="auto"/>
        <w:ind w:leftChars="0" w:left="0"/>
        <w:rPr>
          <w:rFonts w:ascii="宋体" w:hAnsi="宋体"/>
          <w:sz w:val="28"/>
          <w:szCs w:val="28"/>
        </w:rPr>
      </w:pPr>
      <w:r>
        <w:rPr>
          <w:rFonts w:ascii="宋体" w:hAnsi="宋体" w:hint="eastAsia"/>
          <w:sz w:val="28"/>
          <w:szCs w:val="28"/>
        </w:rPr>
        <w:t>10.2  部分解除合同的，供方应继续履行合同中未解除的部分。</w:t>
      </w:r>
      <w:bookmarkStart w:id="30" w:name="_Toc487900368"/>
    </w:p>
    <w:p w:rsidR="00ED69B8" w:rsidRDefault="00EA7D7F">
      <w:pPr>
        <w:adjustRightInd w:val="0"/>
        <w:snapToGrid w:val="0"/>
        <w:spacing w:line="360" w:lineRule="auto"/>
        <w:ind w:left="960" w:hanging="960"/>
        <w:rPr>
          <w:rFonts w:ascii="宋体" w:hAnsi="宋体"/>
          <w:sz w:val="28"/>
          <w:szCs w:val="28"/>
        </w:rPr>
      </w:pPr>
      <w:r>
        <w:rPr>
          <w:rFonts w:ascii="宋体" w:hAnsi="宋体" w:hint="eastAsia"/>
          <w:sz w:val="28"/>
          <w:szCs w:val="28"/>
        </w:rPr>
        <w:t>11、破产终止合同</w:t>
      </w:r>
      <w:bookmarkEnd w:id="30"/>
    </w:p>
    <w:p w:rsidR="00ED69B8" w:rsidRDefault="00EA7D7F" w:rsidP="00EA7D7F">
      <w:pPr>
        <w:pStyle w:val="20"/>
        <w:adjustRightInd w:val="0"/>
        <w:snapToGrid w:val="0"/>
        <w:spacing w:line="360" w:lineRule="auto"/>
        <w:ind w:leftChars="0" w:left="0" w:firstLineChars="152" w:firstLine="426"/>
        <w:rPr>
          <w:rFonts w:ascii="宋体" w:hAnsi="宋体"/>
          <w:sz w:val="28"/>
          <w:szCs w:val="28"/>
        </w:rPr>
      </w:pPr>
      <w:r>
        <w:rPr>
          <w:rFonts w:ascii="宋体" w:hAnsi="宋体" w:hint="eastAsia"/>
          <w:sz w:val="28"/>
          <w:szCs w:val="28"/>
        </w:rPr>
        <w:t>如果供方破产导致合同无法履行时，需方可以书面形式通知供方，单方终止合同而不给供方补偿。</w:t>
      </w:r>
      <w:bookmarkStart w:id="31" w:name="_Toc487900369"/>
    </w:p>
    <w:p w:rsidR="00ED69B8" w:rsidRDefault="00EA7D7F">
      <w:pPr>
        <w:adjustRightInd w:val="0"/>
        <w:snapToGrid w:val="0"/>
        <w:spacing w:line="360" w:lineRule="auto"/>
        <w:ind w:left="960" w:hanging="960"/>
        <w:rPr>
          <w:rFonts w:ascii="宋体" w:hAnsi="宋体"/>
          <w:sz w:val="28"/>
          <w:szCs w:val="28"/>
        </w:rPr>
      </w:pPr>
      <w:bookmarkStart w:id="32" w:name="_Toc487900370"/>
      <w:bookmarkEnd w:id="31"/>
      <w:r>
        <w:rPr>
          <w:rFonts w:ascii="宋体" w:hAnsi="宋体" w:hint="eastAsia"/>
          <w:sz w:val="28"/>
          <w:szCs w:val="28"/>
        </w:rPr>
        <w:t>12、合同修改</w:t>
      </w:r>
      <w:bookmarkEnd w:id="32"/>
    </w:p>
    <w:p w:rsidR="00ED69B8" w:rsidRDefault="00EA7D7F" w:rsidP="00EA7D7F">
      <w:pPr>
        <w:pStyle w:val="20"/>
        <w:adjustRightInd w:val="0"/>
        <w:snapToGrid w:val="0"/>
        <w:spacing w:line="360" w:lineRule="auto"/>
        <w:ind w:leftChars="0" w:left="0" w:firstLineChars="152" w:firstLine="426"/>
        <w:rPr>
          <w:rFonts w:ascii="宋体" w:hAnsi="宋体"/>
          <w:sz w:val="28"/>
          <w:szCs w:val="28"/>
        </w:rPr>
      </w:pPr>
      <w:r>
        <w:rPr>
          <w:rFonts w:ascii="宋体" w:hAnsi="宋体" w:hint="eastAsia"/>
          <w:sz w:val="28"/>
          <w:szCs w:val="28"/>
        </w:rPr>
        <w:t>需方和供方都不得擅自变更本合同。如必须对合同条款进行改动时，当事人双方须共同签署书面文件，作为合同的补充。</w:t>
      </w:r>
      <w:bookmarkStart w:id="33" w:name="_Toc487900371"/>
    </w:p>
    <w:bookmarkEnd w:id="33"/>
    <w:p w:rsidR="00ED69B8" w:rsidRDefault="00EA7D7F">
      <w:pPr>
        <w:adjustRightInd w:val="0"/>
        <w:snapToGrid w:val="0"/>
        <w:spacing w:line="360" w:lineRule="auto"/>
        <w:ind w:left="960" w:hanging="960"/>
        <w:rPr>
          <w:rFonts w:ascii="宋体" w:hAnsi="宋体"/>
          <w:sz w:val="28"/>
          <w:szCs w:val="28"/>
        </w:rPr>
      </w:pPr>
      <w:r>
        <w:rPr>
          <w:rFonts w:ascii="宋体" w:hAnsi="宋体" w:hint="eastAsia"/>
          <w:sz w:val="28"/>
          <w:szCs w:val="28"/>
        </w:rPr>
        <w:t>13、合同期限2年。</w:t>
      </w:r>
    </w:p>
    <w:p w:rsidR="00ED69B8" w:rsidRDefault="00EA7D7F">
      <w:pPr>
        <w:tabs>
          <w:tab w:val="left" w:pos="426"/>
        </w:tabs>
        <w:adjustRightInd w:val="0"/>
        <w:snapToGrid w:val="0"/>
        <w:spacing w:line="360" w:lineRule="auto"/>
        <w:rPr>
          <w:rFonts w:ascii="宋体" w:hAnsi="宋体"/>
          <w:sz w:val="28"/>
          <w:szCs w:val="28"/>
        </w:rPr>
      </w:pPr>
      <w:r>
        <w:rPr>
          <w:rFonts w:ascii="宋体" w:hAnsi="宋体" w:hint="eastAsia"/>
          <w:sz w:val="28"/>
          <w:szCs w:val="28"/>
        </w:rPr>
        <w:t>14、合同期内，药品价格不能上调，如政府出台统一价格调整相关政策，按政策执行。</w:t>
      </w:r>
    </w:p>
    <w:p w:rsidR="00ED69B8" w:rsidRDefault="00EA7D7F">
      <w:pPr>
        <w:tabs>
          <w:tab w:val="left" w:pos="426"/>
        </w:tabs>
        <w:adjustRightInd w:val="0"/>
        <w:snapToGrid w:val="0"/>
        <w:spacing w:line="360" w:lineRule="auto"/>
        <w:rPr>
          <w:rFonts w:ascii="宋体" w:hAnsi="宋体"/>
          <w:sz w:val="28"/>
          <w:szCs w:val="28"/>
        </w:rPr>
      </w:pPr>
      <w:r>
        <w:rPr>
          <w:rFonts w:ascii="宋体" w:hAnsi="宋体" w:hint="eastAsia"/>
          <w:bCs/>
          <w:sz w:val="28"/>
          <w:szCs w:val="28"/>
        </w:rPr>
        <w:t>15、合同期内，如中标方不能满足国家新出台的政策，合同自行终止。</w:t>
      </w:r>
    </w:p>
    <w:p w:rsidR="00ED69B8" w:rsidRDefault="00EA7D7F">
      <w:pPr>
        <w:pStyle w:val="a5"/>
        <w:adjustRightInd w:val="0"/>
        <w:snapToGrid w:val="0"/>
        <w:spacing w:before="156" w:line="360" w:lineRule="auto"/>
        <w:rPr>
          <w:rFonts w:hAnsi="宋体"/>
          <w:sz w:val="28"/>
          <w:szCs w:val="28"/>
        </w:rPr>
      </w:pPr>
      <w:r>
        <w:rPr>
          <w:rFonts w:hAnsi="宋体" w:hint="eastAsia"/>
          <w:sz w:val="28"/>
          <w:szCs w:val="28"/>
        </w:rPr>
        <w:t>16、合同期内，若在北京市</w:t>
      </w:r>
      <w:proofErr w:type="gramStart"/>
      <w:r>
        <w:rPr>
          <w:rFonts w:hAnsi="宋体" w:hint="eastAsia"/>
          <w:sz w:val="28"/>
          <w:szCs w:val="28"/>
        </w:rPr>
        <w:t>药品招采管理系统</w:t>
      </w:r>
      <w:proofErr w:type="gramEnd"/>
      <w:r>
        <w:rPr>
          <w:rFonts w:hAnsi="宋体" w:hint="eastAsia"/>
          <w:sz w:val="28"/>
          <w:szCs w:val="28"/>
        </w:rPr>
        <w:t>上出现公示的中药配方颗粒价格，如中标方的总体价格高于其他厂家配方颗粒价格，医院有权终止合同。</w:t>
      </w:r>
    </w:p>
    <w:sectPr w:rsidR="00ED69B8">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600A"/>
    <w:rsid w:val="00010F32"/>
    <w:rsid w:val="000217A7"/>
    <w:rsid w:val="00032DA9"/>
    <w:rsid w:val="00035F25"/>
    <w:rsid w:val="00047CA4"/>
    <w:rsid w:val="00053939"/>
    <w:rsid w:val="00097351"/>
    <w:rsid w:val="000A08C7"/>
    <w:rsid w:val="000A7983"/>
    <w:rsid w:val="000B0D17"/>
    <w:rsid w:val="000C2E04"/>
    <w:rsid w:val="000C6989"/>
    <w:rsid w:val="001224C7"/>
    <w:rsid w:val="001249A3"/>
    <w:rsid w:val="00156BEE"/>
    <w:rsid w:val="0015751A"/>
    <w:rsid w:val="00166E2E"/>
    <w:rsid w:val="00181B0F"/>
    <w:rsid w:val="001B7BC2"/>
    <w:rsid w:val="001C1D4D"/>
    <w:rsid w:val="001F7D93"/>
    <w:rsid w:val="00213490"/>
    <w:rsid w:val="00225C9F"/>
    <w:rsid w:val="0024198D"/>
    <w:rsid w:val="00287D29"/>
    <w:rsid w:val="0031600A"/>
    <w:rsid w:val="003166F5"/>
    <w:rsid w:val="0032171D"/>
    <w:rsid w:val="0032345C"/>
    <w:rsid w:val="0035585B"/>
    <w:rsid w:val="003670FD"/>
    <w:rsid w:val="003B0BBF"/>
    <w:rsid w:val="003C4B4B"/>
    <w:rsid w:val="003D0E33"/>
    <w:rsid w:val="003D7EAF"/>
    <w:rsid w:val="003E30FF"/>
    <w:rsid w:val="003E64E7"/>
    <w:rsid w:val="00484F46"/>
    <w:rsid w:val="00490002"/>
    <w:rsid w:val="004A7206"/>
    <w:rsid w:val="00512461"/>
    <w:rsid w:val="00515A63"/>
    <w:rsid w:val="00544449"/>
    <w:rsid w:val="00576835"/>
    <w:rsid w:val="00577BAE"/>
    <w:rsid w:val="005A148D"/>
    <w:rsid w:val="005B3AC3"/>
    <w:rsid w:val="005B472A"/>
    <w:rsid w:val="005B510C"/>
    <w:rsid w:val="005B77FC"/>
    <w:rsid w:val="005C37E7"/>
    <w:rsid w:val="005D3ADE"/>
    <w:rsid w:val="005D3FEF"/>
    <w:rsid w:val="005F26E3"/>
    <w:rsid w:val="005F5711"/>
    <w:rsid w:val="006070A3"/>
    <w:rsid w:val="006143CA"/>
    <w:rsid w:val="00636FF4"/>
    <w:rsid w:val="00667E61"/>
    <w:rsid w:val="006B371C"/>
    <w:rsid w:val="006B421D"/>
    <w:rsid w:val="006E101E"/>
    <w:rsid w:val="00756FE6"/>
    <w:rsid w:val="00761916"/>
    <w:rsid w:val="00792A81"/>
    <w:rsid w:val="007C628F"/>
    <w:rsid w:val="007D16C6"/>
    <w:rsid w:val="007E4E2D"/>
    <w:rsid w:val="007F0A84"/>
    <w:rsid w:val="0082209B"/>
    <w:rsid w:val="00852123"/>
    <w:rsid w:val="00886E90"/>
    <w:rsid w:val="008A0C3E"/>
    <w:rsid w:val="008A0E5D"/>
    <w:rsid w:val="008A676D"/>
    <w:rsid w:val="008B4323"/>
    <w:rsid w:val="008F2043"/>
    <w:rsid w:val="008F7CA8"/>
    <w:rsid w:val="00907A15"/>
    <w:rsid w:val="009100D5"/>
    <w:rsid w:val="0091126C"/>
    <w:rsid w:val="009338B4"/>
    <w:rsid w:val="0094775B"/>
    <w:rsid w:val="00971908"/>
    <w:rsid w:val="0098413B"/>
    <w:rsid w:val="009B0363"/>
    <w:rsid w:val="009E29E6"/>
    <w:rsid w:val="00A15D14"/>
    <w:rsid w:val="00A47D07"/>
    <w:rsid w:val="00A74E59"/>
    <w:rsid w:val="00A873DB"/>
    <w:rsid w:val="00B22072"/>
    <w:rsid w:val="00BA13F9"/>
    <w:rsid w:val="00C114B8"/>
    <w:rsid w:val="00C35DA1"/>
    <w:rsid w:val="00C36551"/>
    <w:rsid w:val="00C74DC4"/>
    <w:rsid w:val="00C75DC1"/>
    <w:rsid w:val="00C871EB"/>
    <w:rsid w:val="00CA199D"/>
    <w:rsid w:val="00CA30E3"/>
    <w:rsid w:val="00CB2A08"/>
    <w:rsid w:val="00D71A13"/>
    <w:rsid w:val="00D90929"/>
    <w:rsid w:val="00DD02F4"/>
    <w:rsid w:val="00DD11F4"/>
    <w:rsid w:val="00DF2BA5"/>
    <w:rsid w:val="00E36B7A"/>
    <w:rsid w:val="00E757E7"/>
    <w:rsid w:val="00E92758"/>
    <w:rsid w:val="00EA374D"/>
    <w:rsid w:val="00EA7D7F"/>
    <w:rsid w:val="00ED69B8"/>
    <w:rsid w:val="00EE7C73"/>
    <w:rsid w:val="00EF3A7C"/>
    <w:rsid w:val="00F112AF"/>
    <w:rsid w:val="00F1539A"/>
    <w:rsid w:val="00F43A9F"/>
    <w:rsid w:val="00F91F3C"/>
    <w:rsid w:val="00FA7FF0"/>
    <w:rsid w:val="36891ED4"/>
    <w:rsid w:val="76A310B0"/>
    <w:rsid w:val="7EDC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utoSpaceDE w:val="0"/>
      <w:autoSpaceDN w:val="0"/>
      <w:adjustRightInd w:val="0"/>
      <w:ind w:firstLine="420"/>
      <w:jc w:val="left"/>
    </w:pPr>
    <w:rPr>
      <w:rFonts w:ascii="宋体" w:eastAsia="宋体" w:hAnsi="Times New Roman" w:cs="Times New Roman"/>
      <w:kern w:val="0"/>
      <w:sz w:val="24"/>
      <w:szCs w:val="20"/>
    </w:rPr>
  </w:style>
  <w:style w:type="paragraph" w:styleId="a4">
    <w:name w:val="Body Text"/>
    <w:basedOn w:val="a"/>
    <w:link w:val="Char0"/>
    <w:pPr>
      <w:tabs>
        <w:tab w:val="left" w:pos="567"/>
      </w:tabs>
      <w:spacing w:before="120" w:line="22" w:lineRule="atLeast"/>
    </w:pPr>
    <w:rPr>
      <w:rFonts w:ascii="宋体" w:eastAsia="宋体" w:hAnsi="宋体" w:cs="Times New Roman"/>
      <w:sz w:val="24"/>
      <w:szCs w:val="20"/>
    </w:rPr>
  </w:style>
  <w:style w:type="paragraph" w:styleId="a5">
    <w:name w:val="Plain Text"/>
    <w:basedOn w:val="a"/>
    <w:link w:val="Char1"/>
    <w:qFormat/>
    <w:rPr>
      <w:rFonts w:ascii="宋体" w:eastAsia="宋体" w:hAnsi="Courier New" w:cs="Times New Roman"/>
      <w:szCs w:val="20"/>
    </w:rPr>
  </w:style>
  <w:style w:type="paragraph" w:styleId="20">
    <w:name w:val="Body Text Indent 2"/>
    <w:basedOn w:val="a"/>
    <w:link w:val="2Char0"/>
    <w:uiPriority w:val="99"/>
    <w:semiHidden/>
    <w:unhideWhenUsed/>
    <w:pPr>
      <w:spacing w:after="120" w:line="480" w:lineRule="auto"/>
      <w:ind w:leftChars="200" w:left="420"/>
    </w:p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Char">
    <w:name w:val="正文缩进 Char"/>
    <w:link w:val="a0"/>
    <w:rPr>
      <w:rFonts w:ascii="宋体" w:eastAsia="宋体" w:hAnsi="Times New Roman" w:cs="Times New Roman"/>
      <w:kern w:val="0"/>
      <w:sz w:val="24"/>
      <w:szCs w:val="20"/>
    </w:rPr>
  </w:style>
  <w:style w:type="character" w:customStyle="1" w:styleId="Char0">
    <w:name w:val="正文文本 Char"/>
    <w:basedOn w:val="a1"/>
    <w:link w:val="a4"/>
    <w:rPr>
      <w:rFonts w:ascii="宋体" w:eastAsia="宋体" w:hAnsi="宋体" w:cs="Times New Roman"/>
      <w:sz w:val="24"/>
      <w:szCs w:val="20"/>
    </w:rPr>
  </w:style>
  <w:style w:type="paragraph" w:customStyle="1" w:styleId="TableParagraph">
    <w:name w:val="Table Paragraph"/>
    <w:basedOn w:val="a"/>
    <w:uiPriority w:val="1"/>
    <w:qFormat/>
    <w:pPr>
      <w:autoSpaceDE w:val="0"/>
      <w:autoSpaceDN w:val="0"/>
      <w:adjustRightInd w:val="0"/>
      <w:jc w:val="left"/>
    </w:pPr>
    <w:rPr>
      <w:rFonts w:ascii="宋体" w:eastAsia="宋体" w:hAnsi="Times New Roman" w:cs="宋体"/>
      <w:kern w:val="0"/>
      <w:sz w:val="24"/>
      <w:szCs w:val="24"/>
    </w:rPr>
  </w:style>
  <w:style w:type="character" w:customStyle="1" w:styleId="3Char">
    <w:name w:val="标题 3 Char"/>
    <w:basedOn w:val="a1"/>
    <w:link w:val="3"/>
    <w:rPr>
      <w:rFonts w:ascii="宋体" w:eastAsia="宋体" w:hAnsi="Times New Roman" w:cs="Times New Roman"/>
      <w:b/>
      <w:kern w:val="0"/>
      <w:sz w:val="24"/>
      <w:szCs w:val="20"/>
      <w:u w:val="single"/>
    </w:rPr>
  </w:style>
  <w:style w:type="character" w:customStyle="1" w:styleId="Char1">
    <w:name w:val="纯文本 Char"/>
    <w:basedOn w:val="a1"/>
    <w:link w:val="a5"/>
    <w:qFormat/>
    <w:rPr>
      <w:rFonts w:ascii="宋体" w:eastAsia="宋体" w:hAnsi="Courier New" w:cs="Times New Roman"/>
      <w:szCs w:val="20"/>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2Char0">
    <w:name w:val="正文文本缩进 2 Char"/>
    <w:basedOn w:val="a1"/>
    <w:link w:val="20"/>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F706B-8B99-47C0-956C-E79F9481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Pages>
  <Words>607</Words>
  <Characters>3464</Characters>
  <Application>Microsoft Office Word</Application>
  <DocSecurity>0</DocSecurity>
  <Lines>28</Lines>
  <Paragraphs>8</Paragraphs>
  <ScaleCrop>false</ScaleCrop>
  <Company>Microsoft</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MS</cp:lastModifiedBy>
  <cp:revision>43</cp:revision>
  <cp:lastPrinted>2022-05-12T02:39:00Z</cp:lastPrinted>
  <dcterms:created xsi:type="dcterms:W3CDTF">2022-05-04T08:48:00Z</dcterms:created>
  <dcterms:modified xsi:type="dcterms:W3CDTF">2022-06-28T02:01:00Z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