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tLeast"/>
        <w:jc w:val="center"/>
        <w:rPr>
          <w:rFonts w:hint="eastAsia" w:ascii="宋体"/>
          <w:b/>
          <w:sz w:val="44"/>
        </w:rPr>
      </w:pPr>
      <w:bookmarkStart w:id="0" w:name="_GoBack"/>
      <w:bookmarkEnd w:id="0"/>
      <w:r>
        <w:rPr>
          <w:rFonts w:hint="eastAsia" w:ascii="宋体"/>
          <w:b/>
          <w:sz w:val="44"/>
        </w:rPr>
        <w:t>全自动生化仪招标参数</w:t>
      </w:r>
    </w:p>
    <w:p>
      <w:pPr>
        <w:spacing w:line="360" w:lineRule="atLeast"/>
        <w:rPr>
          <w:rFonts w:hint="eastAsia" w:ascii="宋体"/>
          <w:sz w:val="28"/>
        </w:rPr>
      </w:pPr>
      <w:r>
        <w:rPr>
          <w:rFonts w:hint="eastAsia" w:ascii="宋体"/>
          <w:sz w:val="28"/>
        </w:rPr>
        <w:t>1.总体要求：</w:t>
      </w:r>
    </w:p>
    <w:p>
      <w:pPr>
        <w:spacing w:line="360" w:lineRule="atLeast"/>
        <w:rPr>
          <w:rFonts w:hint="eastAsia" w:ascii="宋体"/>
          <w:sz w:val="24"/>
        </w:rPr>
      </w:pPr>
      <w:r>
        <w:rPr>
          <w:rFonts w:hint="eastAsia" w:ascii="宋体"/>
          <w:sz w:val="24"/>
        </w:rPr>
        <w:t>1.1全自动生化分析仪1台</w:t>
      </w:r>
    </w:p>
    <w:p>
      <w:pPr>
        <w:spacing w:line="360" w:lineRule="atLeast"/>
        <w:rPr>
          <w:rFonts w:ascii="宋体"/>
          <w:sz w:val="24"/>
        </w:rPr>
      </w:pPr>
      <w:r>
        <w:rPr>
          <w:rFonts w:hint="eastAsia" w:ascii="宋体"/>
          <w:sz w:val="24"/>
        </w:rPr>
        <w:t>1.2用途:用于临床样本的生化类分析物检测</w:t>
      </w:r>
    </w:p>
    <w:p>
      <w:pPr>
        <w:spacing w:line="360" w:lineRule="atLeast"/>
        <w:rPr>
          <w:rFonts w:hint="eastAsia" w:ascii="宋体"/>
          <w:sz w:val="24"/>
        </w:rPr>
      </w:pPr>
      <w:r>
        <w:rPr>
          <w:rFonts w:hint="eastAsia" w:ascii="宋体"/>
          <w:sz w:val="24"/>
        </w:rPr>
        <w:t>1.3配置:主机一套(包括主控电脑,打印机)</w:t>
      </w:r>
    </w:p>
    <w:p>
      <w:pPr>
        <w:spacing w:line="360" w:lineRule="atLeast"/>
        <w:rPr>
          <w:rFonts w:hint="eastAsia" w:ascii="宋体"/>
          <w:sz w:val="24"/>
        </w:rPr>
      </w:pPr>
      <w:r>
        <w:rPr>
          <w:rFonts w:hint="eastAsia" w:ascii="宋体"/>
          <w:sz w:val="24"/>
        </w:rPr>
        <w:t xml:space="preserve">         </w:t>
      </w:r>
    </w:p>
    <w:tbl>
      <w:tblPr>
        <w:tblStyle w:val="9"/>
        <w:tblW w:w="904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28" w:hRule="atLeast"/>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序号</w:t>
            </w:r>
          </w:p>
        </w:tc>
        <w:tc>
          <w:tcPr>
            <w:tcW w:w="8103" w:type="dxa"/>
            <w:noWrap w:val="0"/>
            <w:vAlign w:val="center"/>
          </w:tcPr>
          <w:p>
            <w:pPr>
              <w:spacing w:line="360" w:lineRule="atLeast"/>
              <w:jc w:val="center"/>
              <w:rPr>
                <w:rFonts w:hint="eastAsia" w:ascii="宋体" w:hAnsi="宋体"/>
                <w:sz w:val="24"/>
              </w:rPr>
            </w:pPr>
            <w:r>
              <w:rPr>
                <w:rFonts w:hint="eastAsia" w:ascii="宋体" w:hAnsi="宋体"/>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w:t>
            </w:r>
          </w:p>
        </w:tc>
        <w:tc>
          <w:tcPr>
            <w:tcW w:w="8103" w:type="dxa"/>
            <w:noWrap w:val="0"/>
            <w:vAlign w:val="top"/>
          </w:tcPr>
          <w:p>
            <w:pPr>
              <w:spacing w:line="360" w:lineRule="atLeast"/>
              <w:rPr>
                <w:rFonts w:hint="eastAsia" w:ascii="宋体" w:hAnsi="宋体"/>
                <w:sz w:val="24"/>
              </w:rPr>
            </w:pPr>
            <w:r>
              <w:rPr>
                <w:rFonts w:hint="eastAsia" w:ascii="宋体" w:hAnsi="宋体"/>
                <w:sz w:val="24"/>
              </w:rPr>
              <w:t>分光光度法测试速度≥4000测试/小时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2.2</w:t>
            </w:r>
          </w:p>
        </w:tc>
        <w:tc>
          <w:tcPr>
            <w:tcW w:w="8103" w:type="dxa"/>
            <w:noWrap w:val="0"/>
            <w:vAlign w:val="top"/>
          </w:tcPr>
          <w:p>
            <w:pPr>
              <w:spacing w:line="360" w:lineRule="atLeast"/>
              <w:rPr>
                <w:rFonts w:hint="eastAsia" w:ascii="宋体" w:hAnsi="宋体"/>
                <w:sz w:val="24"/>
              </w:rPr>
            </w:pPr>
            <w:r>
              <w:rPr>
                <w:rFonts w:hint="eastAsia" w:ascii="宋体" w:hAnsi="宋体"/>
                <w:sz w:val="24"/>
              </w:rPr>
              <w:t>离子选择电极法测试速度≥900测试/小时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2.3</w:t>
            </w:r>
          </w:p>
        </w:tc>
        <w:tc>
          <w:tcPr>
            <w:tcW w:w="8103" w:type="dxa"/>
            <w:noWrap w:val="0"/>
            <w:vAlign w:val="top"/>
          </w:tcPr>
          <w:p>
            <w:pPr>
              <w:spacing w:line="360" w:lineRule="atLeast"/>
              <w:rPr>
                <w:rFonts w:ascii="宋体" w:hAnsi="宋体"/>
                <w:sz w:val="24"/>
              </w:rPr>
            </w:pPr>
            <w:r>
              <w:rPr>
                <w:rFonts w:hint="eastAsia" w:ascii="宋体" w:hAnsi="宋体"/>
                <w:sz w:val="24"/>
              </w:rPr>
              <w:t>样品种类:血清,血浆,尿液,脑脊液或其他标本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2.4</w:t>
            </w:r>
          </w:p>
        </w:tc>
        <w:tc>
          <w:tcPr>
            <w:tcW w:w="8103" w:type="dxa"/>
            <w:noWrap w:val="0"/>
            <w:vAlign w:val="top"/>
          </w:tcPr>
          <w:p>
            <w:pPr>
              <w:spacing w:line="360" w:lineRule="atLeast"/>
              <w:rPr>
                <w:rFonts w:hint="eastAsia" w:ascii="宋体" w:hAnsi="宋体"/>
                <w:sz w:val="24"/>
              </w:rPr>
            </w:pPr>
            <w:r>
              <w:rPr>
                <w:rFonts w:hint="eastAsia" w:ascii="宋体" w:hAnsi="宋体"/>
                <w:sz w:val="24"/>
              </w:rPr>
              <w:t>分析方法:终点法,两点法，动力学法，比浊法等多种方法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2.5</w:t>
            </w:r>
          </w:p>
        </w:tc>
        <w:tc>
          <w:tcPr>
            <w:tcW w:w="8103" w:type="dxa"/>
            <w:noWrap w:val="0"/>
            <w:vAlign w:val="top"/>
          </w:tcPr>
          <w:p>
            <w:pPr>
              <w:spacing w:line="360" w:lineRule="atLeast"/>
              <w:rPr>
                <w:rFonts w:hint="eastAsia" w:ascii="宋体" w:hAnsi="宋体"/>
                <w:sz w:val="24"/>
              </w:rPr>
            </w:pPr>
            <w:r>
              <w:rPr>
                <w:rFonts w:hint="eastAsia" w:ascii="宋体" w:hAnsi="宋体"/>
                <w:sz w:val="24"/>
              </w:rPr>
              <w:t>光源:卤素灯</w:t>
            </w:r>
            <w:r>
              <w:rPr>
                <w:rFonts w:ascii="宋体" w:hAnsi="宋体"/>
                <w:sz w:val="24"/>
              </w:rPr>
              <w:t>,</w:t>
            </w:r>
            <w:r>
              <w:rPr>
                <w:rFonts w:hint="eastAsia" w:ascii="宋体" w:hAnsi="宋体"/>
                <w:sz w:val="24"/>
              </w:rPr>
              <w:t>每只寿命≥1000小时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2.6</w:t>
            </w:r>
          </w:p>
        </w:tc>
        <w:tc>
          <w:tcPr>
            <w:tcW w:w="8103" w:type="dxa"/>
            <w:noWrap w:val="0"/>
            <w:vAlign w:val="top"/>
          </w:tcPr>
          <w:p>
            <w:pPr>
              <w:spacing w:line="360" w:lineRule="atLeast"/>
              <w:rPr>
                <w:rFonts w:hint="eastAsia" w:ascii="宋体" w:hAnsi="宋体"/>
                <w:sz w:val="24"/>
              </w:rPr>
            </w:pPr>
            <w:r>
              <w:rPr>
                <w:rFonts w:hint="eastAsia" w:ascii="宋体" w:hAnsi="宋体"/>
                <w:sz w:val="24"/>
              </w:rPr>
              <w:t>波长范围:340-800</w:t>
            </w:r>
            <w:r>
              <w:rPr>
                <w:rFonts w:ascii="宋体" w:hAnsi="宋体"/>
                <w:sz w:val="24"/>
              </w:rPr>
              <w:t>nm</w:t>
            </w:r>
            <w:r>
              <w:rPr>
                <w:rFonts w:hint="eastAsia" w:ascii="宋体" w:hAnsi="宋体"/>
                <w:sz w:val="24"/>
              </w:rPr>
              <w:t>，分析波长≥12个，单双波长测试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2.7</w:t>
            </w:r>
          </w:p>
        </w:tc>
        <w:tc>
          <w:tcPr>
            <w:tcW w:w="8103" w:type="dxa"/>
            <w:noWrap w:val="0"/>
            <w:vAlign w:val="top"/>
          </w:tcPr>
          <w:p>
            <w:pPr>
              <w:spacing w:line="360" w:lineRule="atLeast"/>
              <w:rPr>
                <w:rFonts w:hint="eastAsia" w:ascii="宋体" w:hAnsi="宋体"/>
                <w:sz w:val="24"/>
              </w:rPr>
            </w:pPr>
            <w:r>
              <w:rPr>
                <w:rFonts w:hint="eastAsia" w:ascii="宋体" w:hAnsi="宋体"/>
                <w:sz w:val="24"/>
              </w:rPr>
              <w:t>分光系统: 光栅后分光系统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2.8</w:t>
            </w:r>
          </w:p>
        </w:tc>
        <w:tc>
          <w:tcPr>
            <w:tcW w:w="8103" w:type="dxa"/>
            <w:noWrap w:val="0"/>
            <w:vAlign w:val="top"/>
          </w:tcPr>
          <w:p>
            <w:pPr>
              <w:spacing w:line="360" w:lineRule="atLeast"/>
              <w:rPr>
                <w:rFonts w:hint="eastAsia" w:ascii="宋体" w:hAnsi="宋体"/>
                <w:sz w:val="24"/>
              </w:rPr>
            </w:pPr>
            <w:r>
              <w:rPr>
                <w:rFonts w:hint="eastAsia" w:ascii="宋体" w:hAnsi="宋体"/>
                <w:sz w:val="24"/>
              </w:rPr>
              <w:t>吸光度线性范围: 0-3.0 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2.9</w:t>
            </w:r>
          </w:p>
        </w:tc>
        <w:tc>
          <w:tcPr>
            <w:tcW w:w="8103" w:type="dxa"/>
            <w:noWrap w:val="0"/>
            <w:vAlign w:val="top"/>
          </w:tcPr>
          <w:p>
            <w:pPr>
              <w:spacing w:line="360" w:lineRule="atLeast"/>
              <w:rPr>
                <w:rFonts w:hint="eastAsia" w:ascii="宋体" w:hAnsi="宋体"/>
                <w:sz w:val="24"/>
              </w:rPr>
            </w:pPr>
            <w:r>
              <w:rPr>
                <w:rFonts w:hint="eastAsia" w:ascii="宋体" w:hAnsi="宋体"/>
                <w:sz w:val="24"/>
              </w:rPr>
              <w:t>在机常规样品位：≥350个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ascii="宋体" w:hAnsi="宋体"/>
                <w:sz w:val="24"/>
              </w:rPr>
            </w:pPr>
            <w:r>
              <w:rPr>
                <w:rFonts w:hint="eastAsia" w:ascii="宋体" w:hAnsi="宋体"/>
                <w:sz w:val="24"/>
              </w:rPr>
              <w:t>2.10</w:t>
            </w:r>
          </w:p>
        </w:tc>
        <w:tc>
          <w:tcPr>
            <w:tcW w:w="8103" w:type="dxa"/>
            <w:noWrap w:val="0"/>
            <w:vAlign w:val="top"/>
          </w:tcPr>
          <w:p>
            <w:pPr>
              <w:spacing w:line="360" w:lineRule="atLeast"/>
              <w:rPr>
                <w:rFonts w:hint="eastAsia" w:ascii="宋体" w:hAnsi="宋体"/>
                <w:sz w:val="24"/>
              </w:rPr>
            </w:pPr>
            <w:r>
              <w:rPr>
                <w:rFonts w:hint="eastAsia" w:ascii="宋体" w:hAnsi="宋体"/>
                <w:sz w:val="24"/>
              </w:rPr>
              <w:t>样本容器:多种规格的原试管（真空采血管）或样品杯可混合使用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2.11★</w:t>
            </w:r>
          </w:p>
        </w:tc>
        <w:tc>
          <w:tcPr>
            <w:tcW w:w="8103" w:type="dxa"/>
            <w:noWrap w:val="0"/>
            <w:vAlign w:val="top"/>
          </w:tcPr>
          <w:p>
            <w:pPr>
              <w:spacing w:line="360" w:lineRule="atLeast"/>
              <w:rPr>
                <w:rFonts w:hint="eastAsia" w:ascii="宋体" w:hAnsi="宋体"/>
                <w:sz w:val="24"/>
              </w:rPr>
            </w:pPr>
            <w:r>
              <w:rPr>
                <w:rFonts w:hint="eastAsia" w:ascii="宋体" w:hAnsi="宋体"/>
                <w:sz w:val="24"/>
              </w:rPr>
              <w:t>进样方式：样本架轨道式进样，可连续、随机进样，≥5个样本/架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2.12</w:t>
            </w:r>
          </w:p>
        </w:tc>
        <w:tc>
          <w:tcPr>
            <w:tcW w:w="8103" w:type="dxa"/>
            <w:noWrap w:val="0"/>
            <w:vAlign w:val="top"/>
          </w:tcPr>
          <w:p>
            <w:pPr>
              <w:spacing w:line="360" w:lineRule="atLeast"/>
              <w:rPr>
                <w:rFonts w:hint="eastAsia" w:ascii="宋体" w:hAnsi="宋体"/>
                <w:sz w:val="24"/>
              </w:rPr>
            </w:pPr>
            <w:r>
              <w:rPr>
                <w:rFonts w:hint="eastAsia" w:ascii="宋体" w:hAnsi="宋体"/>
                <w:sz w:val="24"/>
              </w:rPr>
              <w:t>试剂仓：R1、R2分立式冷藏试剂仓，R1+R2≥210个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2.13</w:t>
            </w:r>
          </w:p>
        </w:tc>
        <w:tc>
          <w:tcPr>
            <w:tcW w:w="8103" w:type="dxa"/>
            <w:noWrap w:val="0"/>
            <w:vAlign w:val="top"/>
          </w:tcPr>
          <w:p>
            <w:pPr>
              <w:spacing w:line="360" w:lineRule="atLeast"/>
              <w:rPr>
                <w:rFonts w:hint="eastAsia" w:ascii="宋体" w:hAnsi="宋体"/>
                <w:sz w:val="24"/>
              </w:rPr>
            </w:pPr>
            <w:r>
              <w:rPr>
                <w:rFonts w:hint="eastAsia" w:ascii="宋体" w:hAnsi="宋体"/>
                <w:sz w:val="24"/>
              </w:rPr>
              <w:t>同时分析项目：双试剂同时分析项目≥100项（不含ISE）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2.14</w:t>
            </w:r>
          </w:p>
        </w:tc>
        <w:tc>
          <w:tcPr>
            <w:tcW w:w="8103" w:type="dxa"/>
            <w:noWrap w:val="0"/>
            <w:vAlign w:val="top"/>
          </w:tcPr>
          <w:p>
            <w:pPr>
              <w:spacing w:line="360" w:lineRule="atLeast"/>
              <w:rPr>
                <w:rFonts w:hint="eastAsia" w:ascii="宋体" w:hAnsi="宋体"/>
                <w:sz w:val="24"/>
              </w:rPr>
            </w:pPr>
            <w:r>
              <w:rPr>
                <w:rFonts w:hint="eastAsia" w:ascii="宋体" w:hAnsi="宋体"/>
                <w:sz w:val="24"/>
              </w:rPr>
              <w:t>具备急诊随机插入测定功能，最快结果报告时间≤8分钟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2.15★</w:t>
            </w:r>
          </w:p>
        </w:tc>
        <w:tc>
          <w:tcPr>
            <w:tcW w:w="8103" w:type="dxa"/>
            <w:noWrap w:val="0"/>
            <w:vAlign w:val="top"/>
          </w:tcPr>
          <w:p>
            <w:pPr>
              <w:spacing w:line="360" w:lineRule="atLeast"/>
              <w:rPr>
                <w:rFonts w:hint="eastAsia" w:ascii="宋体" w:hAnsi="宋体"/>
                <w:sz w:val="24"/>
              </w:rPr>
            </w:pPr>
            <w:r>
              <w:rPr>
                <w:rFonts w:hint="eastAsia" w:ascii="宋体" w:hAnsi="宋体"/>
                <w:sz w:val="24"/>
              </w:rPr>
              <w:t>最小总反应体积≤100</w:t>
            </w:r>
            <w:r>
              <w:rPr>
                <w:rFonts w:ascii="宋体" w:hAnsi="宋体"/>
                <w:sz w:val="24"/>
              </w:rPr>
              <w:t>ul</w:t>
            </w:r>
            <w:r>
              <w:rPr>
                <w:rFonts w:hint="eastAsia" w:ascii="宋体" w:hAnsi="宋体"/>
                <w:sz w:val="24"/>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2.16</w:t>
            </w:r>
          </w:p>
        </w:tc>
        <w:tc>
          <w:tcPr>
            <w:tcW w:w="8103" w:type="dxa"/>
            <w:noWrap w:val="0"/>
            <w:vAlign w:val="top"/>
          </w:tcPr>
          <w:p>
            <w:pPr>
              <w:spacing w:line="360" w:lineRule="atLeast"/>
              <w:rPr>
                <w:rFonts w:hint="eastAsia" w:ascii="宋体" w:hAnsi="宋体"/>
                <w:sz w:val="24"/>
              </w:rPr>
            </w:pPr>
            <w:r>
              <w:rPr>
                <w:rFonts w:hint="eastAsia" w:ascii="宋体" w:hAnsi="宋体"/>
                <w:sz w:val="24"/>
              </w:rPr>
              <w:t>最小样品量≤1</w:t>
            </w:r>
            <w:r>
              <w:rPr>
                <w:rFonts w:ascii="宋体" w:hAnsi="宋体"/>
                <w:sz w:val="24"/>
              </w:rPr>
              <w:t>ul</w:t>
            </w:r>
            <w:r>
              <w:rPr>
                <w:rFonts w:hint="eastAsia" w:ascii="宋体" w:hAnsi="宋体"/>
                <w:sz w:val="24"/>
              </w:rPr>
              <w:t>，0.1</w:t>
            </w:r>
            <w:r>
              <w:rPr>
                <w:rFonts w:ascii="宋体" w:hAnsi="宋体"/>
                <w:sz w:val="24"/>
              </w:rPr>
              <w:t xml:space="preserve"> ul</w:t>
            </w:r>
            <w:r>
              <w:rPr>
                <w:rFonts w:hint="eastAsia" w:ascii="宋体" w:hAnsi="宋体"/>
                <w:sz w:val="24"/>
              </w:rPr>
              <w:t>步进</w:t>
            </w:r>
          </w:p>
          <w:p>
            <w:pPr>
              <w:spacing w:line="360" w:lineRule="atLeast"/>
              <w:rPr>
                <w:rFonts w:hint="eastAsia" w:ascii="宋体" w:hAnsi="宋体"/>
                <w:sz w:val="24"/>
              </w:rPr>
            </w:pPr>
            <w:r>
              <w:rPr>
                <w:rFonts w:hint="eastAsia" w:ascii="宋体" w:hAnsi="宋体"/>
                <w:sz w:val="24"/>
              </w:rPr>
              <w:t>最小试剂量≤10</w:t>
            </w:r>
            <w:r>
              <w:rPr>
                <w:rFonts w:ascii="宋体" w:hAnsi="宋体"/>
                <w:sz w:val="24"/>
              </w:rPr>
              <w:t>ul</w:t>
            </w:r>
            <w:r>
              <w:rPr>
                <w:rFonts w:hint="eastAsia" w:ascii="宋体" w:hAnsi="宋体"/>
                <w:sz w:val="24"/>
              </w:rPr>
              <w:t>，1</w:t>
            </w:r>
            <w:r>
              <w:rPr>
                <w:rFonts w:ascii="宋体" w:hAnsi="宋体"/>
                <w:sz w:val="24"/>
              </w:rPr>
              <w:t xml:space="preserve"> ul</w:t>
            </w:r>
            <w:r>
              <w:rPr>
                <w:rFonts w:hint="eastAsia" w:ascii="宋体" w:hAnsi="宋体"/>
                <w:sz w:val="24"/>
              </w:rPr>
              <w:t>步进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2.17</w:t>
            </w:r>
          </w:p>
        </w:tc>
        <w:tc>
          <w:tcPr>
            <w:tcW w:w="8103" w:type="dxa"/>
            <w:noWrap w:val="0"/>
            <w:vAlign w:val="top"/>
          </w:tcPr>
          <w:p>
            <w:pPr>
              <w:spacing w:line="360" w:lineRule="atLeast"/>
              <w:rPr>
                <w:rFonts w:hint="eastAsia" w:ascii="宋体" w:hAnsi="宋体"/>
                <w:sz w:val="24"/>
              </w:rPr>
            </w:pPr>
            <w:r>
              <w:rPr>
                <w:rFonts w:hint="eastAsia" w:ascii="宋体" w:hAnsi="宋体"/>
                <w:sz w:val="24"/>
              </w:rPr>
              <w:t>线性/非线性多点定标，具备2维试剂条码，可单点平移定标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2.18★</w:t>
            </w:r>
          </w:p>
        </w:tc>
        <w:tc>
          <w:tcPr>
            <w:tcW w:w="8103" w:type="dxa"/>
            <w:noWrap w:val="0"/>
            <w:vAlign w:val="top"/>
          </w:tcPr>
          <w:p>
            <w:pPr>
              <w:spacing w:line="360" w:lineRule="atLeast"/>
              <w:rPr>
                <w:rFonts w:hint="eastAsia" w:ascii="宋体" w:hAnsi="宋体"/>
                <w:sz w:val="24"/>
              </w:rPr>
            </w:pPr>
            <w:r>
              <w:rPr>
                <w:rFonts w:hint="eastAsia" w:ascii="宋体" w:hAnsi="宋体"/>
                <w:sz w:val="24"/>
              </w:rPr>
              <w:t>试剂系统完全开放,用户可自行选择试剂品牌,单一测试项目可同时使用1-3种试剂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2.19☆</w:t>
            </w:r>
          </w:p>
        </w:tc>
        <w:tc>
          <w:tcPr>
            <w:tcW w:w="8103" w:type="dxa"/>
            <w:noWrap w:val="0"/>
            <w:vAlign w:val="center"/>
          </w:tcPr>
          <w:p>
            <w:pPr>
              <w:spacing w:line="360" w:lineRule="atLeast"/>
              <w:rPr>
                <w:rFonts w:ascii="宋体" w:hAnsi="宋体"/>
                <w:sz w:val="24"/>
              </w:rPr>
            </w:pPr>
            <w:r>
              <w:rPr>
                <w:rFonts w:hint="eastAsia" w:ascii="宋体" w:hAnsi="宋体"/>
                <w:sz w:val="24"/>
              </w:rPr>
              <w:t>可提供同品牌全套原装试剂、校准品和质控品供用户选择，具有完整溯源性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2.20</w:t>
            </w:r>
          </w:p>
        </w:tc>
        <w:tc>
          <w:tcPr>
            <w:tcW w:w="8103" w:type="dxa"/>
            <w:noWrap w:val="0"/>
            <w:vAlign w:val="center"/>
          </w:tcPr>
          <w:p>
            <w:pPr>
              <w:spacing w:line="360" w:lineRule="atLeast"/>
              <w:rPr>
                <w:rFonts w:hint="eastAsia" w:ascii="宋体" w:hAnsi="宋体"/>
                <w:sz w:val="24"/>
              </w:rPr>
            </w:pPr>
            <w:r>
              <w:rPr>
                <w:rFonts w:hint="eastAsia" w:ascii="宋体" w:hAnsi="宋体"/>
                <w:sz w:val="24"/>
              </w:rPr>
              <w:t>操作方便:可用鼠标</w:t>
            </w:r>
            <w:r>
              <w:rPr>
                <w:rFonts w:ascii="宋体" w:hAnsi="宋体"/>
                <w:sz w:val="24"/>
              </w:rPr>
              <w:t>,</w:t>
            </w:r>
            <w:r>
              <w:rPr>
                <w:rFonts w:hint="eastAsia" w:ascii="宋体" w:hAnsi="宋体"/>
                <w:sz w:val="24"/>
              </w:rPr>
              <w:t>键盘或触摸屏等方式进行操作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2.21</w:t>
            </w:r>
          </w:p>
        </w:tc>
        <w:tc>
          <w:tcPr>
            <w:tcW w:w="8103" w:type="dxa"/>
            <w:noWrap w:val="0"/>
            <w:vAlign w:val="center"/>
          </w:tcPr>
          <w:p>
            <w:pPr>
              <w:spacing w:line="360" w:lineRule="atLeast"/>
              <w:rPr>
                <w:rFonts w:hint="eastAsia" w:ascii="宋体" w:hAnsi="宋体"/>
                <w:sz w:val="24"/>
              </w:rPr>
            </w:pPr>
            <w:r>
              <w:rPr>
                <w:rFonts w:hint="eastAsia" w:ascii="宋体" w:hAnsi="宋体"/>
                <w:sz w:val="24"/>
              </w:rPr>
              <w:t>标准配置RS-232C接口，可单/双向通讯，可进行远程诊断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2.22</w:t>
            </w:r>
          </w:p>
        </w:tc>
        <w:tc>
          <w:tcPr>
            <w:tcW w:w="8103" w:type="dxa"/>
            <w:noWrap w:val="0"/>
            <w:vAlign w:val="center"/>
          </w:tcPr>
          <w:p>
            <w:pPr>
              <w:spacing w:line="360" w:lineRule="atLeast"/>
              <w:rPr>
                <w:rFonts w:hint="eastAsia" w:ascii="宋体" w:hAnsi="宋体"/>
                <w:sz w:val="24"/>
              </w:rPr>
            </w:pPr>
            <w:r>
              <w:rPr>
                <w:rFonts w:hint="eastAsia" w:ascii="宋体" w:hAnsi="宋体"/>
                <w:sz w:val="24"/>
              </w:rPr>
              <w:t>配备样本和试剂条形码，具备试管液面自动跟踪功能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2.23</w:t>
            </w:r>
          </w:p>
        </w:tc>
        <w:tc>
          <w:tcPr>
            <w:tcW w:w="8103" w:type="dxa"/>
            <w:noWrap w:val="0"/>
            <w:vAlign w:val="center"/>
          </w:tcPr>
          <w:p>
            <w:pPr>
              <w:spacing w:line="360" w:lineRule="atLeast"/>
              <w:rPr>
                <w:rFonts w:hint="eastAsia" w:ascii="宋体" w:hAnsi="宋体"/>
                <w:sz w:val="24"/>
              </w:rPr>
            </w:pPr>
            <w:r>
              <w:rPr>
                <w:rFonts w:hint="eastAsia" w:ascii="宋体" w:hAnsi="宋体"/>
                <w:sz w:val="24"/>
              </w:rPr>
              <w:t>具备样品凝块检出功能及样品探针堵孔分级报警系统和探针防撞保护功能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center"/>
          </w:tcPr>
          <w:p>
            <w:pPr>
              <w:spacing w:line="360" w:lineRule="atLeast"/>
              <w:jc w:val="center"/>
              <w:rPr>
                <w:rFonts w:hint="eastAsia" w:ascii="宋体" w:hAnsi="宋体"/>
                <w:sz w:val="24"/>
              </w:rPr>
            </w:pPr>
            <w:r>
              <w:rPr>
                <w:rFonts w:hint="eastAsia" w:ascii="宋体" w:hAnsi="宋体"/>
                <w:sz w:val="24"/>
              </w:rPr>
              <w:t>2.24</w:t>
            </w:r>
          </w:p>
        </w:tc>
        <w:tc>
          <w:tcPr>
            <w:tcW w:w="8103" w:type="dxa"/>
            <w:noWrap w:val="0"/>
            <w:vAlign w:val="center"/>
          </w:tcPr>
          <w:p>
            <w:pPr>
              <w:spacing w:line="360" w:lineRule="atLeast"/>
              <w:rPr>
                <w:rFonts w:hint="eastAsia" w:ascii="宋体" w:hAnsi="宋体"/>
                <w:sz w:val="24"/>
              </w:rPr>
            </w:pPr>
            <w:r>
              <w:rPr>
                <w:rFonts w:hint="eastAsia" w:ascii="宋体" w:hAnsi="宋体"/>
                <w:sz w:val="24"/>
              </w:rPr>
              <w:t>样本针具备气泡探测功能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2.25☆</w:t>
            </w:r>
          </w:p>
        </w:tc>
        <w:tc>
          <w:tcPr>
            <w:tcW w:w="8103" w:type="dxa"/>
            <w:noWrap w:val="0"/>
            <w:vAlign w:val="center"/>
          </w:tcPr>
          <w:p>
            <w:pPr>
              <w:spacing w:line="360" w:lineRule="atLeast"/>
              <w:ind w:left="120" w:hanging="120" w:hangingChars="50"/>
              <w:rPr>
                <w:rFonts w:hint="eastAsia" w:ascii="宋体" w:hAnsi="宋体"/>
                <w:sz w:val="24"/>
              </w:rPr>
            </w:pPr>
            <w:r>
              <w:rPr>
                <w:rFonts w:hint="eastAsia" w:ascii="宋体" w:hAnsi="宋体"/>
                <w:sz w:val="24"/>
              </w:rPr>
              <w:t>Windows XP图形化全中文操作平台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2.26</w:t>
            </w:r>
          </w:p>
        </w:tc>
        <w:tc>
          <w:tcPr>
            <w:tcW w:w="8103" w:type="dxa"/>
            <w:noWrap w:val="0"/>
            <w:vAlign w:val="center"/>
          </w:tcPr>
          <w:p>
            <w:pPr>
              <w:spacing w:line="360" w:lineRule="atLeast"/>
              <w:rPr>
                <w:rFonts w:hint="eastAsia" w:ascii="宋体" w:hAnsi="宋体"/>
                <w:sz w:val="24"/>
              </w:rPr>
            </w:pPr>
            <w:r>
              <w:rPr>
                <w:rFonts w:hint="eastAsia" w:ascii="宋体" w:hAnsi="宋体"/>
                <w:sz w:val="24"/>
              </w:rPr>
              <w:t>故障诊断:具备智能故障检测及在线帮助功能,可提示软硬件系统的故障原因和部位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2.27</w:t>
            </w:r>
          </w:p>
        </w:tc>
        <w:tc>
          <w:tcPr>
            <w:tcW w:w="8103" w:type="dxa"/>
            <w:noWrap w:val="0"/>
            <w:vAlign w:val="center"/>
          </w:tcPr>
          <w:p>
            <w:pPr>
              <w:spacing w:line="360" w:lineRule="atLeast"/>
              <w:rPr>
                <w:rFonts w:hint="eastAsia" w:ascii="宋体" w:hAnsi="宋体"/>
                <w:sz w:val="24"/>
              </w:rPr>
            </w:pPr>
            <w:r>
              <w:rPr>
                <w:rFonts w:hint="eastAsia" w:ascii="宋体" w:hAnsi="宋体"/>
                <w:sz w:val="24"/>
              </w:rPr>
              <w:t>投标品牌在本省/市设有维修站。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945" w:type="dxa"/>
            <w:noWrap w:val="0"/>
            <w:vAlign w:val="top"/>
          </w:tcPr>
          <w:p>
            <w:pPr>
              <w:spacing w:line="360" w:lineRule="atLeast"/>
              <w:jc w:val="center"/>
              <w:rPr>
                <w:rFonts w:hint="eastAsia" w:ascii="宋体" w:hAnsi="宋体"/>
                <w:sz w:val="24"/>
              </w:rPr>
            </w:pPr>
            <w:r>
              <w:rPr>
                <w:rFonts w:hint="eastAsia" w:ascii="宋体" w:hAnsi="宋体"/>
                <w:sz w:val="24"/>
              </w:rPr>
              <w:t>2.28</w:t>
            </w:r>
          </w:p>
        </w:tc>
        <w:tc>
          <w:tcPr>
            <w:tcW w:w="8103" w:type="dxa"/>
            <w:noWrap w:val="0"/>
            <w:vAlign w:val="center"/>
          </w:tcPr>
          <w:p>
            <w:pPr>
              <w:spacing w:line="360" w:lineRule="atLeast"/>
              <w:rPr>
                <w:rFonts w:hint="eastAsia" w:ascii="宋体" w:hAnsi="宋体"/>
                <w:sz w:val="24"/>
              </w:rPr>
            </w:pPr>
            <w:r>
              <w:rPr>
                <w:rFonts w:hint="eastAsia" w:ascii="宋体" w:hAnsi="宋体"/>
                <w:sz w:val="24"/>
              </w:rPr>
              <w:t>售后服务:保修期3年或3年以上；保修期后每年一次免费的保养,软件免费升级。</w:t>
            </w:r>
          </w:p>
        </w:tc>
      </w:tr>
    </w:tbl>
    <w:p>
      <w:pPr>
        <w:spacing w:line="360" w:lineRule="atLeast"/>
        <w:rPr>
          <w:rFonts w:hint="eastAsia" w:ascii="宋体" w:hAnsi="宋体"/>
          <w:sz w:val="24"/>
        </w:rPr>
      </w:pPr>
    </w:p>
    <w:p>
      <w:pPr>
        <w:spacing w:line="360" w:lineRule="atLeast"/>
        <w:rPr>
          <w:rFonts w:hint="eastAsia"/>
          <w:sz w:val="28"/>
        </w:rPr>
      </w:pPr>
    </w:p>
    <w:sectPr>
      <w:headerReference r:id="rId5" w:type="default"/>
      <w:footerReference r:id="rId6" w:type="default"/>
      <w:footerReference r:id="rId7" w:type="even"/>
      <w:pgSz w:w="11907" w:h="16840"/>
      <w:pgMar w:top="1418" w:right="1418" w:bottom="1418" w:left="1418" w:header="851" w:footer="992" w:gutter="0"/>
      <w:pgNumType w:start="1"/>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934" w:y="69"/>
      <w:rPr>
        <w:rStyle w:val="11"/>
      </w:rPr>
    </w:pPr>
  </w:p>
  <w:p>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285"/>
  <w:displayHorizontalDrawingGridEvery w:val="0"/>
  <w:displayVerticalDrawingGridEvery w:val="1"/>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800"/>
    <w:rsid w:val="00053B4B"/>
    <w:rsid w:val="00095D50"/>
    <w:rsid w:val="000C648D"/>
    <w:rsid w:val="00100F13"/>
    <w:rsid w:val="00133DE4"/>
    <w:rsid w:val="001C2BD3"/>
    <w:rsid w:val="001E24B3"/>
    <w:rsid w:val="002A4AF2"/>
    <w:rsid w:val="00303978"/>
    <w:rsid w:val="00322219"/>
    <w:rsid w:val="003A546A"/>
    <w:rsid w:val="003B14D6"/>
    <w:rsid w:val="003C17EA"/>
    <w:rsid w:val="003F703A"/>
    <w:rsid w:val="004027A0"/>
    <w:rsid w:val="0042265A"/>
    <w:rsid w:val="00427BC3"/>
    <w:rsid w:val="00484701"/>
    <w:rsid w:val="004B12F1"/>
    <w:rsid w:val="004E569F"/>
    <w:rsid w:val="005209A7"/>
    <w:rsid w:val="00542223"/>
    <w:rsid w:val="00542946"/>
    <w:rsid w:val="005A02DE"/>
    <w:rsid w:val="005A3693"/>
    <w:rsid w:val="005F4A21"/>
    <w:rsid w:val="005F63C8"/>
    <w:rsid w:val="006E3B6D"/>
    <w:rsid w:val="006E46B1"/>
    <w:rsid w:val="00717AC5"/>
    <w:rsid w:val="007E1281"/>
    <w:rsid w:val="007F0217"/>
    <w:rsid w:val="008043AF"/>
    <w:rsid w:val="0087204B"/>
    <w:rsid w:val="00893787"/>
    <w:rsid w:val="00894974"/>
    <w:rsid w:val="008C4216"/>
    <w:rsid w:val="008F1429"/>
    <w:rsid w:val="00911863"/>
    <w:rsid w:val="00960E0B"/>
    <w:rsid w:val="009A65C6"/>
    <w:rsid w:val="009F7E0E"/>
    <w:rsid w:val="00A62CFA"/>
    <w:rsid w:val="00A70C48"/>
    <w:rsid w:val="00AA527C"/>
    <w:rsid w:val="00AC189F"/>
    <w:rsid w:val="00AC4033"/>
    <w:rsid w:val="00B142F1"/>
    <w:rsid w:val="00B24FDB"/>
    <w:rsid w:val="00B57294"/>
    <w:rsid w:val="00BF24E9"/>
    <w:rsid w:val="00C17F76"/>
    <w:rsid w:val="00C211CC"/>
    <w:rsid w:val="00C400A8"/>
    <w:rsid w:val="00C6222A"/>
    <w:rsid w:val="00CA38E6"/>
    <w:rsid w:val="00CB1FDD"/>
    <w:rsid w:val="00D05965"/>
    <w:rsid w:val="00D343C7"/>
    <w:rsid w:val="00D41E84"/>
    <w:rsid w:val="00D8162D"/>
    <w:rsid w:val="00D97296"/>
    <w:rsid w:val="00DD3034"/>
    <w:rsid w:val="00DE1EE2"/>
    <w:rsid w:val="00DF49D3"/>
    <w:rsid w:val="00EE7E75"/>
    <w:rsid w:val="00EF501B"/>
    <w:rsid w:val="00F2472C"/>
    <w:rsid w:val="00F25BDC"/>
    <w:rsid w:val="00FA7892"/>
    <w:rsid w:val="0307489D"/>
    <w:rsid w:val="273B27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sz w:val="21"/>
      <w:lang w:val="en-US" w:eastAsia="zh-CN" w:bidi="ar-SA"/>
    </w:rPr>
  </w:style>
  <w:style w:type="paragraph" w:styleId="2">
    <w:name w:val="heading 1"/>
    <w:basedOn w:val="1"/>
    <w:next w:val="1"/>
    <w:qFormat/>
    <w:uiPriority w:val="0"/>
    <w:pPr>
      <w:keepNext/>
      <w:spacing w:line="360" w:lineRule="atLeast"/>
      <w:outlineLvl w:val="0"/>
    </w:pPr>
    <w:rPr>
      <w:rFonts w:ascii="Arial" w:hAnsi="Arial" w:eastAsia="楷体_GB2312"/>
      <w:w w:val="90"/>
      <w:sz w:val="28"/>
    </w:rPr>
  </w:style>
  <w:style w:type="paragraph" w:styleId="3">
    <w:name w:val="heading 2"/>
    <w:basedOn w:val="1"/>
    <w:next w:val="1"/>
    <w:qFormat/>
    <w:uiPriority w:val="0"/>
    <w:pPr>
      <w:keepNext/>
      <w:spacing w:line="360" w:lineRule="atLeast"/>
      <w:jc w:val="center"/>
      <w:outlineLvl w:val="1"/>
    </w:pPr>
    <w:rPr>
      <w:rFonts w:ascii="Arial" w:hAnsi="Arial" w:eastAsia="楷体_GB2312"/>
      <w:sz w:val="28"/>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4">
    <w:name w:val="Document Map"/>
    <w:basedOn w:val="1"/>
    <w:uiPriority w:val="0"/>
    <w:pPr>
      <w:shd w:val="clear" w:color="auto" w:fill="000080"/>
    </w:pPr>
  </w:style>
  <w:style w:type="paragraph" w:styleId="5">
    <w:name w:val="Body Text"/>
    <w:basedOn w:val="1"/>
    <w:uiPriority w:val="0"/>
    <w:pPr>
      <w:snapToGrid w:val="0"/>
      <w:spacing w:line="360" w:lineRule="atLeast"/>
      <w:jc w:val="center"/>
    </w:pPr>
    <w:rPr>
      <w:rFonts w:ascii="宋体"/>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pacing w:line="240" w:lineRule="atLeast"/>
      <w:jc w:val="left"/>
    </w:pPr>
    <w:rPr>
      <w:sz w:val="18"/>
    </w:rPr>
  </w:style>
  <w:style w:type="paragraph" w:styleId="8">
    <w:name w:val="header"/>
    <w:basedOn w:val="1"/>
    <w:uiPriority w:val="0"/>
    <w:pPr>
      <w:pBdr>
        <w:bottom w:val="single" w:color="auto" w:sz="6" w:space="1"/>
      </w:pBdr>
      <w:tabs>
        <w:tab w:val="center" w:pos="4153"/>
        <w:tab w:val="right" w:pos="8306"/>
      </w:tabs>
      <w:spacing w:line="240" w:lineRule="atLeast"/>
      <w:jc w:val="center"/>
    </w:pPr>
    <w:rPr>
      <w:sz w:val="18"/>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Company>
  <Pages>2</Pages>
  <Words>147</Words>
  <Characters>840</Characters>
  <Lines>7</Lines>
  <Paragraphs>1</Paragraphs>
  <TotalTime>0</TotalTime>
  <ScaleCrop>false</ScaleCrop>
  <LinksUpToDate>false</LinksUpToDate>
  <CharactersWithSpaces>986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2021-10-10T03:18:00Z</dcterms:created>
  <dc:creator>三处</dc:creator>
  <cp:lastModifiedBy>李绰</cp:lastModifiedBy>
  <cp:lastPrinted>2010-08-16T06:14:00Z</cp:lastPrinted>
  <dcterms:modified xsi:type="dcterms:W3CDTF">2021-10-10T03:52:38Z</dcterms:modified>
  <dc:title>第六部分　 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BAFEA312B4E04E329CF62048AADEE1C7</vt:lpwstr>
  </property>
</Properties>
</file>